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finance sans conscience n'est-elle que ruine de l'humanité ? Analyse systémique, éthique et réglementaire du capitalisme financier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transposition de la célèbre sentence de François Rabelais — « Science sans conscience n'est que ruine de l'âme » — à la sphère économique contemporaine soulève une interrogation fondamentale quant à la viabilité du capitalisme financiarisé. Si la science, dépourvue de garde-fous moraux, menace l'intégrité de l'esprit humain, une finance dénuée de conscience éthique, sociale et écologique menace aujourd'hui l'habitabilité même de la planète et la cohésion des sociétés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analogie philosophique, explorée dans divers essais récents sur la complexité organisationnelle et la crise des valeurs, pose l'hypothèse d'une dérive structurelle : conçue initialement comme un instrument d'allocation optimale des ressources au service de l'économie réelle, la finance a subi un processus de financiarisation et d'autoréférentialité extrême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présente recherche explore de manière exhaustive les fondements idéologiques de cette "finance sans conscience", ses conséquences macroéconomiques et systémiques (crises financières, déséquilibres structurels et financement du chaos climatique), ainsi que les réponses réglementaires européennes et les alternatives citoyennes qui tentent de réinsérer une rationalité de long terme au cœur des marchés de capitaux.</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Les fondements idéologiques d'une finance déréférencée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déconnexion entre la sphère financière et le bien commun ne relève pas d'une anomalie accidentelle, mais d'une construction théorique et idéologique rigoureuse. L'économiste Milton Friedman en a été l'un des principaux architectes, théorisant une séparation stricte entre la rationalité économique et la responsabilité morale.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La doctrine Friedman et le dogme de la valeur actionnariale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septembre 1970, Milton Friedman publie dans le </w:t>
      </w:r>
      <w:r w:rsidDel="00000000" w:rsidR="00000000" w:rsidRPr="00000000">
        <w:rPr>
          <w:rFonts w:ascii="Google Sans" w:cs="Google Sans" w:eastAsia="Google Sans" w:hAnsi="Google Sans"/>
          <w:i w:val="1"/>
          <w:iCs w:val="1"/>
          <w:color w:val="1f1f1f"/>
          <w:rtl w:val="0"/>
        </w:rPr>
        <w:t xml:space="preserve">New York Times Magazine</w:t>
      </w:r>
      <w:r w:rsidDel="00000000" w:rsidR="00000000" w:rsidRPr="00000000">
        <w:rPr>
          <w:rFonts w:ascii="Google Sans" w:cs="Google Sans" w:eastAsia="Google Sans" w:hAnsi="Google Sans"/>
          <w:color w:val="1f1f1f"/>
          <w:rtl w:val="0"/>
        </w:rPr>
        <w:t xml:space="preserve"> un essai séminal affirmant que l'unique responsabilité sociale d'une entreprise consiste à accroître ses profits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Cette doctrine, qui pose les fondations du capitalisme financier moderne (</w:t>
      </w:r>
      <w:r w:rsidDel="00000000" w:rsidR="00000000" w:rsidRPr="00000000">
        <w:rPr>
          <w:rFonts w:ascii="Google Sans" w:cs="Google Sans" w:eastAsia="Google Sans" w:hAnsi="Google Sans"/>
          <w:i w:val="1"/>
          <w:iCs w:val="1"/>
          <w:color w:val="1f1f1f"/>
          <w:rtl w:val="0"/>
        </w:rPr>
        <w:t xml:space="preserve">shareholder primacy</w:t>
      </w:r>
      <w:r w:rsidDel="00000000" w:rsidR="00000000" w:rsidRPr="00000000">
        <w:rPr>
          <w:rFonts w:ascii="Google Sans" w:cs="Google Sans" w:eastAsia="Google Sans" w:hAnsi="Google Sans"/>
          <w:color w:val="1f1f1f"/>
          <w:rtl w:val="0"/>
        </w:rPr>
        <w:t xml:space="preserve">), stipule que les dirigeants d'entreprise agissent en tant qu'agents fiduciaires des propriétaires (les actionnaires) et n'ont d'autre mandat légitime que de maximiser la valeur de leurs investissements, dans le strict respect du cadre légal et des règles du libre marché</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Selon l'analyse friedmanienne, toute dépense discrétionnaire engagée par un dirigeant pour des causes sociales, environnementales ou philanthropiques (ce que l'on nomme aujourd'hui la Responsabilité Sociale des Entreprises ou RSE) s'apparente à une "taxation sans représentation"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Friedman avance que si les actionnaires, les employés ou les clients souhaitent soutenir des initiatives caritatives ou écologiques, ils disposent de la liberté de le faire individuellement avec leurs revenus propres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L'entreprise, en tant qu'entité économique, ne possèderait aucun avantage comparatif dans la résolution des dysfonctionnements sociaux ; confier cette mission à des dirigeants d'entreprise reviendrait à perturber les processus démocratiques par lesquels les gouvernements allouent les ressources via l'impôt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Cette philosophie a profondément modelé les marchés financiers à partir des années 1980, en promouvant l'efficience des marchés par le biais de la recherche exclusive du profit, mais elle a également institué un court-termisme structurel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L'alignement de la rémunération des dirigeants sur la performance boursière (via les stock-options) a incité à une ingénierie financière axée sur les rendements trimestriels, souvent au détriment de l'investissement à long terme dans le capital humain, la recherche et le développement, et la soutenabilité écologique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Limites structurelles, responsabilité limitée et théorie des parties prenantes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la doctrine de la primauté actionnariale révèle des failles épistémologiques et pratiques majeures lorsqu'elle est confrontée aux réalités systémiques du XXIe siècle. Comme le soulignent les économistes Oliver Hart (lauréat du prix Nobel) et Luigi Zingales, l'argument de Friedman repose sur le principe de "séparabilité" : l'idée que les activités génératrices de profit et les objectifs sociaux sont totalement indépendants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 ce postulat s'effondre face aux externalités négatives complexes. Il est logiquement fallacieux de supposer qu'un individu peut réparer les dommages climatiques avec les dividendes qu'il perçoit. Un actionnaire ne peut pas, à titre individuel, extraire du dioxyde de carbone de l'atmosphère au même coût que celui qu'aurait payé l'entreprise pour éviter de l'émettre à la source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Hart et Zingales soutiennent ainsi que les êtres humains maximisent leur "utilité" et non pas seulement leur "revenu" ; les entreprises devraient donc maximiser le bien-être global de leurs actionnaires (qui inclut leurs préférences éthiques, sociales et environnementales) plutôt que la seule valeur financière de l'action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 la même manière, si l'on applique l'analyse de la valeur actuelle nette (VAN) à des investissements incertains dans le bien-être des employés, la stricte maximisation financière à court terme conduirait à rejeter des projets qui, fondamentalement, assureraient la pérennité de l'entreprise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 ailleurs, l'approche friedmanienne omet l'existence juridique de la responsabilité limitée (</w:t>
      </w:r>
      <w:r w:rsidDel="00000000" w:rsidR="00000000" w:rsidRPr="00000000">
        <w:rPr>
          <w:rFonts w:ascii="Google Sans" w:cs="Google Sans" w:eastAsia="Google Sans" w:hAnsi="Google Sans"/>
          <w:i w:val="1"/>
          <w:iCs w:val="1"/>
          <w:color w:val="1f1f1f"/>
          <w:rtl w:val="0"/>
        </w:rPr>
        <w:t xml:space="preserve">limited liability</w:t>
      </w:r>
      <w:r w:rsidDel="00000000" w:rsidR="00000000" w:rsidRPr="00000000">
        <w:rPr>
          <w:rFonts w:ascii="Google Sans" w:cs="Google Sans" w:eastAsia="Google Sans" w:hAnsi="Google Sans"/>
          <w:color w:val="1f1f1f"/>
          <w:rtl w:val="0"/>
        </w:rPr>
        <w:t xml:space="preserve">). Ce privilège légal permet aux actionnaires de privatiser les gains de l'entreprise tout en externalisant les pertes (vers les créanciers, l'État ou la société) en cas de faillite ou de désastre écologique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En acceptant ce bouclier protecteur accordé par la société, l'entreprise s'inscrit de fait dans une interdépendance qui fonde l'obligation morale d'une responsabilité élargie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aux impasses du modèle de Friedman s'est structurée la théorie des parties prenantes (</w:t>
      </w:r>
      <w:r w:rsidDel="00000000" w:rsidR="00000000" w:rsidRPr="00000000">
        <w:rPr>
          <w:rFonts w:ascii="Google Sans" w:cs="Google Sans" w:eastAsia="Google Sans" w:hAnsi="Google Sans"/>
          <w:i w:val="1"/>
          <w:iCs w:val="1"/>
          <w:color w:val="1f1f1f"/>
          <w:rtl w:val="0"/>
        </w:rPr>
        <w:t xml:space="preserve">stakeholder theory</w:t>
      </w:r>
      <w:r w:rsidDel="00000000" w:rsidR="00000000" w:rsidRPr="00000000">
        <w:rPr>
          <w:rFonts w:ascii="Google Sans" w:cs="Google Sans" w:eastAsia="Google Sans" w:hAnsi="Google Sans"/>
          <w:color w:val="1f1f1f"/>
          <w:rtl w:val="0"/>
        </w:rPr>
        <w:t xml:space="preserve">), associée aux travaux d'Edward Freeman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Ce modèle stipule que la viabilité d'une organisation requiert l'équilibrage des intérêts de l'ensemble des acteurs impactés par ou impactant l'entreprise : employés, sous-traitants, communautés locales, clients et environnement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 Analytique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Doctrine de Primauté Actionnariale (Friedman)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Théorie des Parties Prenantes (Freeman / ESG)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Finalité de l'entité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Génération de richesse exclusive pour les apporteurs de capitaux dans le cadre légal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Création de valeur partagée au sein d'un écosystème socio-économique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Gestion des externalités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Déléguée aux décisions individuelles des actionnaires et à la régulation publique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Internalisation proactive et responsabilité systémique des impacts générés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Horizon temporel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Pression sur les résultats à court et moyen terme (cours boursier, dividendes)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Orienté vers la résilience, la pérennité et la soutenabilité de long terme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Conception juridique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Théorie du propriétaire (l'entreprise est assimilée à la société des actionnaires)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L'entreprise comme institution sociale dotée d'une mission dépassant son statut contractuel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L'obsession pour la valeur actionnariale, conjuguée à une dérégulation institutionnelle, a favorisé l'émergence d'une finance "sans conscience", dont la dangerosité s'est manifestée de manière spectaculaire lors des crises systémiques récentes.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La ruine économique : L'illusion financière et le risque systémique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financiarisation de l'économie se caractérise par la domination des acteurs et des logiques financières sur l'économie réelle, modifiant les systèmes de production, l'accès à l'alimentation et la souveraineté des États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La crise de 2008 constitue le paroxysme de cette dynamique destructrice.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Anatomie d'un désastre : La mécanique de la crise de 2008</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L'effondrement financier de 2007-2008 démontre les conséquences d'un système opérant sans mécanisme interne de régulation des risques à long terme. Aux États-Unis, la crise a pris racine dans l'idéal messianique de la "société de propriétaires", fortement soutenu par l'administration Bush, qui encourageait l'accès à la propriété immobilière via un endettement massif</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Des crédits hypothécaires à risque (</w:t>
      </w:r>
      <w:r w:rsidDel="00000000" w:rsidR="00000000" w:rsidRPr="00000000">
        <w:rPr>
          <w:rFonts w:ascii="Google Sans" w:cs="Google Sans" w:eastAsia="Google Sans" w:hAnsi="Google Sans"/>
          <w:i w:val="1"/>
          <w:iCs w:val="1"/>
          <w:color w:val="1f1f1f"/>
          <w:rtl w:val="0"/>
        </w:rPr>
        <w:t xml:space="preserve">subprimes</w:t>
      </w:r>
      <w:r w:rsidDel="00000000" w:rsidR="00000000" w:rsidRPr="00000000">
        <w:rPr>
          <w:rFonts w:ascii="Google Sans" w:cs="Google Sans" w:eastAsia="Google Sans" w:hAnsi="Google Sans"/>
          <w:color w:val="1f1f1f"/>
          <w:rtl w:val="0"/>
        </w:rPr>
        <w:t xml:space="preserve">) ont été octroyés à des ménages insolvables, alimentés par une politique monétaire expansionniste fournissant des liquidités abondantes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Toutefois, cette bulle immobilière n'aurait pas eu de conséquences systémiques mondiales sans le rôle catalytique de l'innovation financière débridée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Les institutions bancaires, cherchant à maximiser leur rentabilité sans immobiliser leurs fonds propres, ont massivement eu recours à la titrisation. Cette technique permet de transformer des créances illiquides en instruments financiers négociables (tels que les </w:t>
      </w:r>
      <w:r w:rsidDel="00000000" w:rsidR="00000000" w:rsidRPr="00000000">
        <w:rPr>
          <w:rFonts w:ascii="Google Sans" w:cs="Google Sans" w:eastAsia="Google Sans" w:hAnsi="Google Sans"/>
          <w:i w:val="1"/>
          <w:iCs w:val="1"/>
          <w:color w:val="1f1f1f"/>
          <w:rtl w:val="0"/>
        </w:rPr>
        <w:t xml:space="preserve">Collateralized Debt Obligations</w:t>
      </w:r>
      <w:r w:rsidDel="00000000" w:rsidR="00000000" w:rsidRPr="00000000">
        <w:rPr>
          <w:rFonts w:ascii="Google Sans" w:cs="Google Sans" w:eastAsia="Google Sans" w:hAnsi="Google Sans"/>
          <w:color w:val="1f1f1f"/>
          <w:rtl w:val="0"/>
        </w:rPr>
        <w:t xml:space="preserve"> - CDO), souvent assortis de garanties complexes comme les </w:t>
      </w:r>
      <w:r w:rsidDel="00000000" w:rsidR="00000000" w:rsidRPr="00000000">
        <w:rPr>
          <w:rFonts w:ascii="Google Sans" w:cs="Google Sans" w:eastAsia="Google Sans" w:hAnsi="Google Sans"/>
          <w:i w:val="1"/>
          <w:iCs w:val="1"/>
          <w:color w:val="1f1f1f"/>
          <w:rtl w:val="0"/>
        </w:rPr>
        <w:t xml:space="preserve">Credit Default Swaps</w:t>
      </w:r>
      <w:r w:rsidDel="00000000" w:rsidR="00000000" w:rsidRPr="00000000">
        <w:rPr>
          <w:rFonts w:ascii="Google Sans" w:cs="Google Sans" w:eastAsia="Google Sans" w:hAnsi="Google Sans"/>
          <w:color w:val="1f1f1f"/>
          <w:rtl w:val="0"/>
        </w:rPr>
        <w:t xml:space="preserve"> (CDS)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Cette architecture a dilué la responsabilité originelle du prêteur et rendu impossible la traçabilité des risques, disséminant les actifs toxiques dans les bilans des banques mondiales, opérant souvent sur des marchés de gré à gré (</w:t>
      </w:r>
      <w:r w:rsidDel="00000000" w:rsidR="00000000" w:rsidRPr="00000000">
        <w:rPr>
          <w:rFonts w:ascii="Google Sans" w:cs="Google Sans" w:eastAsia="Google Sans" w:hAnsi="Google Sans"/>
          <w:i w:val="1"/>
          <w:iCs w:val="1"/>
          <w:color w:val="1f1f1f"/>
          <w:rtl w:val="0"/>
        </w:rPr>
        <w:t xml:space="preserve">over-the-counter</w:t>
      </w:r>
      <w:r w:rsidDel="00000000" w:rsidR="00000000" w:rsidRPr="00000000">
        <w:rPr>
          <w:rFonts w:ascii="Google Sans" w:cs="Google Sans" w:eastAsia="Google Sans" w:hAnsi="Google Sans"/>
          <w:color w:val="1f1f1f"/>
          <w:rtl w:val="0"/>
        </w:rPr>
        <w:t xml:space="preserve">) d'une totale opacité</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Lorsque la bulle a éclaté, la crise s'est muée en une crise de confiance absolue, entraînant une paralysie du marché interbancaire. Les retombées macroéconomiques furent désastreuses pour l'humanité. Entre 2007 et 2010, le chômage est passé de 4,6 % à 9,6 % de la population active aux États-Unis, tandis qu'il atteignait un pic de 10,2 % dans la zone euro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 commerce mondial en volume s'est effondré de 12,2 % en 2009</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Les indices boursiers, à l'image du S&amp;P 500 à New York, ont accusé une baisse vertigineuse de 60 % entre 2007 et 2009</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Pour sauver le système financier, les États ont dû socialiser les pertes, provoquant une explosion des dettes publiques : de 86,4 % à 125,8 % du PIB aux États-Unis, et de 75,9 % à 101 % en zone euro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En Europe, l'endettement privé était encore plus préoccupant, s'élevant à environ 140 % du PIB contre 88 % pour la dette publique avant d'être massivement transféré vers les bilans souverains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Les paradoxes de la rationalité de marché et l'effet pro-cyclique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L'économiste Gaël Giraud, dans son ouvrage </w:t>
      </w:r>
      <w:r w:rsidDel="00000000" w:rsidR="00000000" w:rsidRPr="00000000">
        <w:rPr>
          <w:rFonts w:ascii="Google Sans" w:cs="Google Sans" w:eastAsia="Google Sans" w:hAnsi="Google Sans"/>
          <w:i w:val="1"/>
          <w:iCs w:val="1"/>
          <w:color w:val="1f1f1f"/>
          <w:rtl w:val="0"/>
        </w:rPr>
        <w:t xml:space="preserve">L'Illusion financière</w:t>
      </w:r>
      <w:r w:rsidDel="00000000" w:rsidR="00000000" w:rsidRPr="00000000">
        <w:rPr>
          <w:rFonts w:ascii="Google Sans" w:cs="Google Sans" w:eastAsia="Google Sans" w:hAnsi="Google Sans"/>
          <w:color w:val="1f1f1f"/>
          <w:rtl w:val="0"/>
        </w:rPr>
        <w:t xml:space="preserve">, déconstruit le mythe selon lequel les marchés financiers seraient peuplés d'agents purement rationnels capables d'établir en permanence la valeur fondamentale juste des actifs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 réalité, les marchés sont mus par des dynamiques d'anticipations mimétiques et de croyances autoréalisatrices, que les modèles économiques désignent sous le terme de "tâches solaires" (</w:t>
      </w:r>
      <w:r w:rsidDel="00000000" w:rsidR="00000000" w:rsidRPr="00000000">
        <w:rPr>
          <w:rFonts w:ascii="Google Sans" w:cs="Google Sans" w:eastAsia="Google Sans" w:hAnsi="Google Sans"/>
          <w:i w:val="1"/>
          <w:iCs w:val="1"/>
          <w:color w:val="1f1f1f"/>
          <w:rtl w:val="0"/>
        </w:rPr>
        <w:t xml:space="preserve">sunspots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 la majorité des investisseurs croient, même à tort, qu'une devise ou un actif va s'effondrer, la stratégie rationnelle individuelle consiste à vendre, ce qui engendre mécaniquement l'effondrement anticipé</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mimétisme a été exacerbé par les méthodes comptables modernes. L'adoption des normes comptables internationales fondées sur la valorisation au prix du marché (</w:t>
      </w:r>
      <w:r w:rsidDel="00000000" w:rsidR="00000000" w:rsidRPr="00000000">
        <w:rPr>
          <w:rFonts w:ascii="Google Sans" w:cs="Google Sans" w:eastAsia="Google Sans" w:hAnsi="Google Sans"/>
          <w:i w:val="1"/>
          <w:iCs w:val="1"/>
          <w:color w:val="1f1f1f"/>
          <w:rtl w:val="0"/>
        </w:rPr>
        <w:t xml:space="preserve">fair value</w:t>
      </w:r>
      <w:r w:rsidDel="00000000" w:rsidR="00000000" w:rsidRPr="00000000">
        <w:rPr>
          <w:rFonts w:ascii="Google Sans" w:cs="Google Sans" w:eastAsia="Google Sans" w:hAnsi="Google Sans"/>
          <w:color w:val="1f1f1f"/>
          <w:rtl w:val="0"/>
        </w:rPr>
        <w:t xml:space="preserve"> ou </w:t>
      </w:r>
      <w:r w:rsidDel="00000000" w:rsidR="00000000" w:rsidRPr="00000000">
        <w:rPr>
          <w:rFonts w:ascii="Google Sans" w:cs="Google Sans" w:eastAsia="Google Sans" w:hAnsi="Google Sans"/>
          <w:i w:val="1"/>
          <w:iCs w:val="1"/>
          <w:color w:val="1f1f1f"/>
          <w:rtl w:val="0"/>
        </w:rPr>
        <w:t xml:space="preserve">mark-to-market</w:t>
      </w:r>
      <w:r w:rsidDel="00000000" w:rsidR="00000000" w:rsidRPr="00000000">
        <w:rPr>
          <w:rFonts w:ascii="Google Sans" w:cs="Google Sans" w:eastAsia="Google Sans" w:hAnsi="Google Sans"/>
          <w:color w:val="1f1f1f"/>
          <w:rtl w:val="0"/>
        </w:rPr>
        <w:t xml:space="preserve">) a introduit une puissante pro-cyclicité dans le système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 phase d'euphorie, l'augmentation du prix des actifs gonfle artificiellement le capital des banques, leur permettant d'augmenter leur effet de levier et de prêter davantage. Lors du retournement, la baisse des prix détruit leurs fonds propres, forçant la vente d'actifs en urgence (</w:t>
      </w:r>
      <w:r w:rsidDel="00000000" w:rsidR="00000000" w:rsidRPr="00000000">
        <w:rPr>
          <w:rFonts w:ascii="Google Sans" w:cs="Google Sans" w:eastAsia="Google Sans" w:hAnsi="Google Sans"/>
          <w:i w:val="1"/>
          <w:iCs w:val="1"/>
          <w:color w:val="1f1f1f"/>
          <w:rtl w:val="0"/>
        </w:rPr>
        <w:t xml:space="preserve">fire sales</w:t>
      </w:r>
      <w:r w:rsidDel="00000000" w:rsidR="00000000" w:rsidRPr="00000000">
        <w:rPr>
          <w:rFonts w:ascii="Google Sans" w:cs="Google Sans" w:eastAsia="Google Sans" w:hAnsi="Google Sans"/>
          <w:color w:val="1f1f1f"/>
          <w:rtl w:val="0"/>
        </w:rPr>
        <w:t xml:space="preserve">), ce qui déprime encore davantage les cours et précipite la ruine économique globale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 2008, un effacement équivalent à sept années de capitalisation boursière s'est produit en seulement six mois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Ces phénomènes démontrent l'impact d'un "paradoxe de la tranquillité", doublé d'un "paradoxe de la crédibilité", tels que décrits par Borio et Shim : le succès prolongé des banques centrales à maintenir l'inflation à un niveau bas a renforcé leur crédibilité, incitant les acteurs financiers à sous-estimer les primes de risque et à s'endetter au-delà du raisonnable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 plus, les thèses dominantes de "découplage", qui postulaient qu'un ralentissement de l'économie américaine ne se transmettrait pas à l'économie mondiale, ont volé en éclats face à la mondialisation des chaînes financières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L'institutionnalisme et les ravages des politiques d'ajustement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répercussions de cette finance sans limites ont été d'autant plus sévères dans les pays en développement. L'analyse des politiques dictées par les Institutions Financières Internationales (IFI), telles que le FMI et la Banque Mondiale, révèle que les Programmes d'Ajustement Structurel (PAS) imposés depuis les années 1980 en Afrique subsaharienne et ailleurs ont souvent privilégié le rééquilibrage de la balance des paiements à court terme au détriment du développement institutionnel local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L'économie politique institutionnaliste souligne que ces institutions ont promu une néo-modernisation globale où le marché prime sur l'État, déstructurant les capacités locales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La crise de 2008-2009 a forcé une remise en question de ce modèle ultra-libéral dominant. Bien que l'Afrique subsaharienne apparaissait </w:t>
      </w:r>
      <w:r w:rsidDel="00000000" w:rsidR="00000000" w:rsidRPr="00000000">
        <w:rPr>
          <w:rFonts w:ascii="Google Sans" w:cs="Google Sans" w:eastAsia="Google Sans" w:hAnsi="Google Sans"/>
          <w:i w:val="1"/>
          <w:iCs w:val="1"/>
          <w:color w:val="1f1f1f"/>
          <w:rtl w:val="0"/>
        </w:rPr>
        <w:t xml:space="preserve">a priori</w:t>
      </w:r>
      <w:r w:rsidDel="00000000" w:rsidR="00000000" w:rsidRPr="00000000">
        <w:rPr>
          <w:rFonts w:ascii="Google Sans" w:cs="Google Sans" w:eastAsia="Google Sans" w:hAnsi="Google Sans"/>
          <w:color w:val="1f1f1f"/>
          <w:rtl w:val="0"/>
        </w:rPr>
        <w:t xml:space="preserve"> moins exposée directement aux produits financiers toxiques, sa vulnérabilité aux chocs exogènes (baisse de la demande mondiale, réduction des flux de capitaux) a révélé l'absence de résilience induite par des décennies de dogmatisme économique sans conscience des spécificités socio-institutionnelles des pays récipiendaires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L'apogée de l'irrationalité : Le financement du chaos climatique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 déréglementation a causé la ruine économique de 2008, le fonctionnement actuel du capitalisme financier organise ce qui s'apparente à une ruine planétaire : le financement massif des activités incompatibles avec les limites biophysiques de la Terre. L'absence de conscience écologique au sein des marchés de capitaux met en péril les conditions d'existence des générations futures et introduit un risque systémique d'une ampleur inédite.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"Banking on Climate Chaos" : La dissonance cognitive bancaire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rapport annuel </w:t>
      </w:r>
      <w:r w:rsidDel="00000000" w:rsidR="00000000" w:rsidRPr="00000000">
        <w:rPr>
          <w:rFonts w:ascii="Google Sans" w:cs="Google Sans" w:eastAsia="Google Sans" w:hAnsi="Google Sans"/>
          <w:i w:val="1"/>
          <w:iCs w:val="1"/>
          <w:color w:val="1f1f1f"/>
          <w:rtl w:val="0"/>
        </w:rPr>
        <w:t xml:space="preserve">Banking on Climate Chaos</w:t>
      </w:r>
      <w:r w:rsidDel="00000000" w:rsidR="00000000" w:rsidRPr="00000000">
        <w:rPr>
          <w:rFonts w:ascii="Google Sans" w:cs="Google Sans" w:eastAsia="Google Sans" w:hAnsi="Google Sans"/>
          <w:color w:val="1f1f1f"/>
          <w:rtl w:val="0"/>
        </w:rPr>
        <w:t xml:space="preserve"> (BOCC), publié par un consortium d'ONG dont Reclaim Finance, Rainforest Action Network, Oil Change International et BankTrack, offre une radiographie accablante de l'implication des grandes banques dans l'expansion des énergies fossiles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Alors que la communauté scientifique (le GIEC) et l'Agence Internationale de l'Énergie (AIE) stipulent clairement que l'atteinte de la neutralité carbone en 2050 et la limitation du réchauffement sous 1,5 °C exigent l'arrêt immédiat de tout </w:t>
      </w:r>
      <w:r w:rsidDel="00000000" w:rsidR="00000000" w:rsidRPr="00000000">
        <w:rPr>
          <w:rFonts w:ascii="Google Sans" w:cs="Google Sans" w:eastAsia="Google Sans" w:hAnsi="Google Sans"/>
          <w:i w:val="1"/>
          <w:iCs w:val="1"/>
          <w:color w:val="1f1f1f"/>
          <w:rtl w:val="0"/>
        </w:rPr>
        <w:t xml:space="preserve">nouveau</w:t>
      </w:r>
      <w:r w:rsidDel="00000000" w:rsidR="00000000" w:rsidRPr="00000000">
        <w:rPr>
          <w:rFonts w:ascii="Google Sans" w:cs="Google Sans" w:eastAsia="Google Sans" w:hAnsi="Google Sans"/>
          <w:color w:val="1f1f1f"/>
          <w:rtl w:val="0"/>
        </w:rPr>
        <w:t xml:space="preserve"> projet d'exploitation fossile, la réalité des flux financiers indique une trajectoire diamétralement opposée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L'année 2024, marquée par le dépassement moyen du seuil de réchauffement de 1,5 °C, a vu les 65 plus grandes banques mondiales accorder 869 milliards de dollars de financements à l'industrie des énergies fossiles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Ce montant colossal représente une augmentation de 23 % par rapport à 2023, stimulée notamment par l'assouplissement des taux d'intérêt et un recul flagrant des engagements climatiques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Les financements ciblés vers les nouvelles infrastructures de transport pétro-gazier (telles que le Gaz Naturel Liquéfié - GNL - et les pipelines) ont enregistré un bond alarmant de 84 % en un an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acteurs nord-américains dominent ce financement climaticide, accaparant 33 % du total mondial, avec en tête des institutions comme JPMorgan Chase, Bank of America et Citigroup</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JPMorgan Chase conserve d'ailleurs sa position de premier financeur mondial, avec 58 milliards de dollars alloués au secteur en une seule année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Europe, et particulièrement en France, la situation révèle de profonds paradoxes. Bien que les ONG reconnaissent que, globalement, les banques françaises aient initié une réduction de leurs financements à l'expansion des énergies fossiles, de graves manquements persistent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BNP Paribas, par exemple, s'est imposée entre 2021 et 2023 comme le 3ème financeur mondial des majors pétrolières et gazières (avec 10,3 milliards de dollars), maintenant des liens financiers étroits avec TotalEnergies, la major italienne Eni (impliquée dans 11 "bombes climatiques" mondiales) et Saudi Aramco, premier producteur mondial</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Historiquement, BNP Paribas a également été décriée pour le financement de projets désastreux comme la centrale à charbon de Tata Mundra en Inde (émettant plus de 30 millions de tonnes de CO2 annuellement)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Le mécontentement face à cette dichotomie entre discours RSE et actes financiers a provoqué d'importantes contestations, illustrées lors de l'Assemblée Générale de BNP Paribas en mai 2024, où un collectif de 1 240 étudiants de grandes écoles (dont CentraleSupélec) et près de 600 scientifiques (le collectif </w:t>
      </w:r>
      <w:r w:rsidDel="00000000" w:rsidR="00000000" w:rsidRPr="00000000">
        <w:rPr>
          <w:rFonts w:ascii="Google Sans" w:cs="Google Sans" w:eastAsia="Google Sans" w:hAnsi="Google Sans"/>
          <w:i w:val="1"/>
          <w:iCs w:val="1"/>
          <w:color w:val="1f1f1f"/>
          <w:rtl w:val="0"/>
        </w:rPr>
        <w:t xml:space="preserve">Scientifiques en Rébellion</w:t>
      </w:r>
      <w:r w:rsidDel="00000000" w:rsidR="00000000" w:rsidRPr="00000000">
        <w:rPr>
          <w:rFonts w:ascii="Google Sans" w:cs="Google Sans" w:eastAsia="Google Sans" w:hAnsi="Google Sans"/>
          <w:color w:val="1f1f1f"/>
          <w:rtl w:val="0"/>
        </w:rPr>
        <w:t xml:space="preserve">) ont sommé la direction de mettre fin à ses activités écocides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D'autres acteurs comme le Groupe BPCE (via Natixis) ont également été épinglés par le rapport BOCC pour avoir augmenté leurs financements liés à l'expansion des hydrocarbures à hauteur de 4,2 milliards de dollars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réponse, les institutions bancaires et la Fédération Bancaire Française (FBF) contestent vivement la méthodologie des ONG, pointant des erreurs factuelles. La FBF argue que l'exposition totale des banques françaises aux hydrocarbures est tombée à 37 milliards d'euros en 2024 (soit seulement 0,36 % de leur total bilan), et souligne qu'aujourd'hui, pour chaque euro investi dans la production fossile, 2,6 € sont alloués aux énergies renouvelables et plus de 12 € aux crédits verts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BPCE rappelle également sa position de 4ème acteur mondial dans le financement des infrastructures renouvelables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Toutefois, l'urgence climatique rend ces justifications insuffisantes : l'expansion continue des capacités fossiles neutralise les bénéfices marginaux des investissements verts.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Bulle carbone, "Stranded Assets" et instabilité systémique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maintien des financements dans le secteur des combustibles fossiles engendre une vulnérabilité endogène d'une gravité inédite : le risque de la "bulle carbone" (</w:t>
      </w:r>
      <w:r w:rsidDel="00000000" w:rsidR="00000000" w:rsidRPr="00000000">
        <w:rPr>
          <w:rFonts w:ascii="Google Sans" w:cs="Google Sans" w:eastAsia="Google Sans" w:hAnsi="Google Sans"/>
          <w:i w:val="1"/>
          <w:iCs w:val="1"/>
          <w:color w:val="1f1f1f"/>
          <w:rtl w:val="0"/>
        </w:rPr>
        <w:t xml:space="preserve">carbon bubble</w:t>
      </w:r>
      <w:r w:rsidDel="00000000" w:rsidR="00000000" w:rsidRPr="00000000">
        <w:rPr>
          <w:rFonts w:ascii="Google Sans" w:cs="Google Sans" w:eastAsia="Google Sans" w:hAnsi="Google Sans"/>
          <w:color w:val="1f1f1f"/>
          <w:rtl w:val="0"/>
        </w:rPr>
        <w:t xml:space="preserve">) et des "actifs échoués" (</w:t>
      </w:r>
      <w:r w:rsidDel="00000000" w:rsidR="00000000" w:rsidRPr="00000000">
        <w:rPr>
          <w:rFonts w:ascii="Google Sans" w:cs="Google Sans" w:eastAsia="Google Sans" w:hAnsi="Google Sans"/>
          <w:i w:val="1"/>
          <w:iCs w:val="1"/>
          <w:color w:val="1f1f1f"/>
          <w:rtl w:val="0"/>
        </w:rPr>
        <w:t xml:space="preserve">stranded assets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concept, conceptualisé dès 2013-2014 par des think tanks tels que </w:t>
      </w:r>
      <w:r w:rsidDel="00000000" w:rsidR="00000000" w:rsidRPr="00000000">
        <w:rPr>
          <w:rFonts w:ascii="Google Sans" w:cs="Google Sans" w:eastAsia="Google Sans" w:hAnsi="Google Sans"/>
          <w:i w:val="1"/>
          <w:iCs w:val="1"/>
          <w:color w:val="1f1f1f"/>
          <w:rtl w:val="0"/>
        </w:rPr>
        <w:t xml:space="preserve">Carbon Tracker Initiative</w:t>
      </w:r>
      <w:r w:rsidDel="00000000" w:rsidR="00000000" w:rsidRPr="00000000">
        <w:rPr>
          <w:rFonts w:ascii="Google Sans" w:cs="Google Sans" w:eastAsia="Google Sans" w:hAnsi="Google Sans"/>
          <w:color w:val="1f1f1f"/>
          <w:rtl w:val="0"/>
        </w:rPr>
        <w:t xml:space="preserve"> dans leurs rapports </w:t>
      </w:r>
      <w:r w:rsidDel="00000000" w:rsidR="00000000" w:rsidRPr="00000000">
        <w:rPr>
          <w:rFonts w:ascii="Google Sans" w:cs="Google Sans" w:eastAsia="Google Sans" w:hAnsi="Google Sans"/>
          <w:i w:val="1"/>
          <w:iCs w:val="1"/>
          <w:color w:val="1f1f1f"/>
          <w:rtl w:val="0"/>
        </w:rPr>
        <w:t xml:space="preserve">Unburnable Carbon</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Stranded Assets</w:t>
      </w:r>
      <w:r w:rsidDel="00000000" w:rsidR="00000000" w:rsidRPr="00000000">
        <w:rPr>
          <w:rFonts w:ascii="Google Sans" w:cs="Google Sans" w:eastAsia="Google Sans" w:hAnsi="Google Sans"/>
          <w:color w:val="1f1f1f"/>
          <w:rtl w:val="0"/>
        </w:rPr>
        <w:t xml:space="preserve">, repose sur une asymétrie fondamentale dans la valorisation boursière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Actuellement, la capitalisation boursière des multinationales pétrolières, gazières et charbonnières s'appuie sur la valeur de leurs réserves prouvées enfouies dans le sous-sol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Or, le budget carbone résiduel de l'humanité pour maintenir l'augmentation des températures sous 1,5 °C ou 2 °C impose qu'une part écrasante de ces réserves (estimée entre 60 % et 80 %) demeure inexploitée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la communauté internationale traduit ses engagements de l'Accord de Paris en politiques publiques contraignantes (tarification agressive du carbone, interdiction de forages, essor foudroyant des mobilités décarbonées), ces réserves perdront soudainement leur valeur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Le capital massivement investi par les banques et les fonds de pension dans ces infrastructures se transformera en "actifs échoués", c'est-à-dire irrécupérables et dépréciés. Cette dévalorisation brutale entraînerait la faillite d'acteurs de premier plan et une réaction en chaîne dévastatrice, justifiant l'idée que les banques pourraient, à terme, être considérées comme pénalement complices des dommages climatiques si elles persistent dans l'aveuglement</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 risque de transition se cumule avec le risque physique direct (destructions liées aux événements climatiques extrêmes). L'intensification des incendies de forêt en Californie, qui ont provoqué des pertes de 8 à 20 milliards de dollars, démontre comment les chocs climatiques minent la résilience du secteur assurantiel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Contrairement à un krach boursier classique, le choc climatique est un processus lent, irréversible et cumulatif</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La perspective d'un "moment Minsky" climatique — un effondrement soudain de la valeur des actifs consécutif à une longue phase d'accumulation de risques ignorés — devient une réalité tangible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L'impact de la transition sur l'économie réelle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transition vers une économie bas-carbone, bien qu'impérative pour la survie de la biosphère, engendrera des bouleversements significatifs sur le marché du travail, nécessitant des flux financiers réorientés et "conscients". L'analyse macroéconomique indique que les destructions d'emplois se concentreront dans des secteurs hautement émissifs (cokéfaction, raffinage, métallurgie, transports fossiles), qui représentent plus de la moitié des émissions de CO2 pour moins de 3 % de l'emploi total</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les créations nettes d'emplois devraient être positives. En France, les métiers "verts" (assainissement, efficacité énergétique, traitement des déchets) représentaient déjà 140 000 emplois en 2018 (0,5 % de l'emploi total), et les prévisions (scénarios </w:t>
      </w:r>
      <w:r w:rsidDel="00000000" w:rsidR="00000000" w:rsidRPr="00000000">
        <w:rPr>
          <w:rFonts w:ascii="Google Sans" w:cs="Google Sans" w:eastAsia="Google Sans" w:hAnsi="Google Sans"/>
          <w:i w:val="1"/>
          <w:iCs w:val="1"/>
          <w:color w:val="1f1f1f"/>
          <w:rtl w:val="0"/>
        </w:rPr>
        <w:t xml:space="preserve">Métiers 2030</w:t>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i w:val="1"/>
          <w:iCs w:val="1"/>
          <w:color w:val="1f1f1f"/>
          <w:rtl w:val="0"/>
        </w:rPr>
        <w:t xml:space="preserve">Trois-ME</w:t>
      </w:r>
      <w:r w:rsidDel="00000000" w:rsidR="00000000" w:rsidRPr="00000000">
        <w:rPr>
          <w:rFonts w:ascii="Google Sans" w:cs="Google Sans" w:eastAsia="Google Sans" w:hAnsi="Google Sans"/>
          <w:color w:val="1f1f1f"/>
          <w:rtl w:val="0"/>
        </w:rPr>
        <w:t xml:space="preserve">) estiment que la transition écologique générera entre 200 000 et 500 000 emplois supplémentaires à l'horizon 2030</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Au niveau européen, un scénario de réduction de 55 % des émissions (Fit for 55) d'ici 2030 prévoit la création de près de 5 millions de nouveaux emplois d'ici 2050, soit une croissance de 2,5 % de l'emploi dans l'UE-27</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Cette mutation nécessitera toutefois un capital financier patient pour accompagner la requalification de la main-d'œuvre et le changement structurel des filières industrielles.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L'éveil d'une conscience institutionnelle : L'arsenal réglementaire européen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Face à l'échec manifeste des marchés libres à internaliser le coût de la destruction écologique et sociale, l'Union européenne tente, à travers le Pacte Vert (</w:t>
      </w:r>
      <w:r w:rsidDel="00000000" w:rsidR="00000000" w:rsidRPr="00000000">
        <w:rPr>
          <w:rFonts w:ascii="Google Sans" w:cs="Google Sans" w:eastAsia="Google Sans" w:hAnsi="Google Sans"/>
          <w:i w:val="1"/>
          <w:iCs w:val="1"/>
          <w:color w:val="1f1f1f"/>
          <w:rtl w:val="0"/>
        </w:rPr>
        <w:t xml:space="preserve">Green Deal</w:t>
      </w:r>
      <w:r w:rsidDel="00000000" w:rsidR="00000000" w:rsidRPr="00000000">
        <w:rPr>
          <w:rFonts w:ascii="Google Sans" w:cs="Google Sans" w:eastAsia="Google Sans" w:hAnsi="Google Sans"/>
          <w:color w:val="1f1f1f"/>
          <w:rtl w:val="0"/>
        </w:rPr>
        <w:t xml:space="preserve">), d'institutionnaliser une "conscience" financière par un cadre réglementaire d'une ampleur inédite. Cette tentative cherche à positionner l'Europe en tant que troisième voie géopolitique, face aux doctrines purement financières des États-Unis et aux modèles dirigés de la Chine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La CSRD et la révolution épistémologique de la Double Matérialité</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directive CSRD (</w:t>
      </w:r>
      <w:r w:rsidDel="00000000" w:rsidR="00000000" w:rsidRPr="00000000">
        <w:rPr>
          <w:rFonts w:ascii="Google Sans" w:cs="Google Sans" w:eastAsia="Google Sans" w:hAnsi="Google Sans"/>
          <w:i w:val="1"/>
          <w:iCs w:val="1"/>
          <w:color w:val="1f1f1f"/>
          <w:rtl w:val="0"/>
        </w:rPr>
        <w:t xml:space="preserve">Corporate Sustainability Reporting Directive</w:t>
      </w:r>
      <w:r w:rsidDel="00000000" w:rsidR="00000000" w:rsidRPr="00000000">
        <w:rPr>
          <w:rFonts w:ascii="Google Sans" w:cs="Google Sans" w:eastAsia="Google Sans" w:hAnsi="Google Sans"/>
          <w:color w:val="1f1f1f"/>
          <w:rtl w:val="0"/>
        </w:rPr>
        <w:t xml:space="preserve">), qui s'applique progressivement depuis 2024 en remplacement de la NFRD, ambitionne de hisser l'information extra-financière (durabilité) au même niveau de rigueur, de standardisation et de vérifiabilité (via audit obligatoire) que l'information financière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pierre angulaire de cette réglementation est l'introduction du concept normatif de la </w:t>
      </w:r>
      <w:r w:rsidDel="00000000" w:rsidR="00000000" w:rsidRPr="00000000">
        <w:rPr>
          <w:rFonts w:ascii="Google Sans" w:cs="Google Sans" w:eastAsia="Google Sans" w:hAnsi="Google Sans"/>
          <w:b w:val="1"/>
          <w:bCs w:val="1"/>
          <w:color w:val="1f1f1f"/>
          <w:rtl w:val="0"/>
        </w:rPr>
        <w:t xml:space="preserve">Double Matérialité</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Jusqu'à présent, les référentiels comptables classiques et les standards promus par la fondation IFRS/ISSB ne reconnaissaient que la </w:t>
      </w:r>
      <w:r w:rsidDel="00000000" w:rsidR="00000000" w:rsidRPr="00000000">
        <w:rPr>
          <w:rFonts w:ascii="Google Sans" w:cs="Google Sans" w:eastAsia="Google Sans" w:hAnsi="Google Sans"/>
          <w:i w:val="1"/>
          <w:iCs w:val="1"/>
          <w:color w:val="1f1f1f"/>
          <w:rtl w:val="0"/>
        </w:rPr>
        <w:t xml:space="preserve">matérialité financière</w:t>
      </w:r>
      <w:r w:rsidDel="00000000" w:rsidR="00000000" w:rsidRPr="00000000">
        <w:rPr>
          <w:rFonts w:ascii="Google Sans" w:cs="Google Sans" w:eastAsia="Google Sans" w:hAnsi="Google Sans"/>
          <w:color w:val="1f1f1f"/>
          <w:rtl w:val="0"/>
        </w:rPr>
        <w:t xml:space="preserve"> (ou matérialité simple)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Cette approche, exclusivement tournée vers la protection de l'investisseur, s'intéresse à l'impact de l'environnement extérieur sur l'entreprise (les risques de durabilité altérant la performance financière — approche </w:t>
      </w:r>
      <w:r w:rsidDel="00000000" w:rsidR="00000000" w:rsidRPr="00000000">
        <w:rPr>
          <w:rFonts w:ascii="Google Sans" w:cs="Google Sans" w:eastAsia="Google Sans" w:hAnsi="Google Sans"/>
          <w:i w:val="1"/>
          <w:iCs w:val="1"/>
          <w:color w:val="1f1f1f"/>
          <w:rtl w:val="0"/>
        </w:rPr>
        <w:t xml:space="preserve">Outside-In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CSRD exige des entreprises qu'elles croisent obligatoirement cette perspective avec la </w:t>
      </w:r>
      <w:r w:rsidDel="00000000" w:rsidR="00000000" w:rsidRPr="00000000">
        <w:rPr>
          <w:rFonts w:ascii="Google Sans" w:cs="Google Sans" w:eastAsia="Google Sans" w:hAnsi="Google Sans"/>
          <w:i w:val="1"/>
          <w:iCs w:val="1"/>
          <w:color w:val="1f1f1f"/>
          <w:rtl w:val="0"/>
        </w:rPr>
        <w:t xml:space="preserve">matérialité d'impact</w:t>
      </w:r>
      <w:r w:rsidDel="00000000" w:rsidR="00000000" w:rsidRPr="00000000">
        <w:rPr>
          <w:rFonts w:ascii="Google Sans" w:cs="Google Sans" w:eastAsia="Google Sans" w:hAnsi="Google Sans"/>
          <w:color w:val="1f1f1f"/>
          <w:rtl w:val="0"/>
        </w:rPr>
        <w:t xml:space="preserve"> (ou matérialité socio-environnementale). Il s'agit de mesurer l'incidence et les externalités, positives ou négatives, générées par les activités de l'entreprise sur la société, les droits humains et l'environnement — approche </w:t>
      </w:r>
      <w:r w:rsidDel="00000000" w:rsidR="00000000" w:rsidRPr="00000000">
        <w:rPr>
          <w:rFonts w:ascii="Google Sans" w:cs="Google Sans" w:eastAsia="Google Sans" w:hAnsi="Google Sans"/>
          <w:i w:val="1"/>
          <w:iCs w:val="1"/>
          <w:color w:val="1f1f1f"/>
          <w:rtl w:val="0"/>
        </w:rPr>
        <w:t xml:space="preserve">Inside-Out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Dimension de la Double Matérialité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Orientation Conceptuelle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de l'Analyse (ESRS)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Principaux Bénéficiaires de l'Information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Matérialité Financière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Outside-In (De l'extérieur vers l'entreprise)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Risques et Opportunités pesant sur les flux de trésorerie et la valorisation de l'entité</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Apporteurs de capitaux, actionnaires, créanciers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Matérialité d'Impact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Inside-Out (De l'entreprise vers l'extérieur)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Incidences réelles, négatives ou positives, sur l'écologie, le climat et les droits fondamentaux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Parties prenantes silencieuses, ONG, citoyens, législateur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Confrontée à des risques de surcharge bureaucratique, la Commission européenne a procédé à une révision majeure début 2026, baptisée "Omnibus I"</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Cette réforme a simplifié les obligations : les seuils d'assujettissement ont été relevés (entreprises de plus de 1 000 salariés et 450 millions d'euros de chiffre d'affaires, contre 250 salariés auparavant), excluant de fait les PME cotées et réduisant le nombre d'entreprises concernées d'environ 50 000 à 10 000 (réduction de 80 %)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De plus, le volume de données ESG exigé a été réduit de plus de 70 %, les normes sectorielles abandonnées, et une norme volontaire simplifiée (VSME) a été introduite pour les PME non cotées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Malgré ces allègements, l'obligation fondamentale de mener une analyse de double matérialité demeure, forçant le management à structurer sa stratégie globale en tenant compte des limites planétaires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SFDR 2.0 : La restructuration de la taxonomie des produits financiers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aval de la chaîne de valeur, le règlement SFDR (</w:t>
      </w:r>
      <w:r w:rsidDel="00000000" w:rsidR="00000000" w:rsidRPr="00000000">
        <w:rPr>
          <w:rFonts w:ascii="Google Sans" w:cs="Google Sans" w:eastAsia="Google Sans" w:hAnsi="Google Sans"/>
          <w:i w:val="1"/>
          <w:iCs w:val="1"/>
          <w:color w:val="1f1f1f"/>
          <w:rtl w:val="0"/>
        </w:rPr>
        <w:t xml:space="preserve">Sustainable Finance Disclosure Regulation</w:t>
      </w:r>
      <w:r w:rsidDel="00000000" w:rsidR="00000000" w:rsidRPr="00000000">
        <w:rPr>
          <w:rFonts w:ascii="Google Sans" w:cs="Google Sans" w:eastAsia="Google Sans" w:hAnsi="Google Sans"/>
          <w:color w:val="1f1f1f"/>
          <w:rtl w:val="0"/>
        </w:rPr>
        <w:t xml:space="preserve">), entré en vigueur en 2021, imposait aux gestionnaires d'actifs de catégoriser leurs fonds d'investissement (Article 6 pour les fonds classiques, Article 8 pour la promotion de caractéristiques ESG, et Article 9 pour l'objectif formel de durabilité)</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Cependant, la souplesse intentionnelle et l'ambiguïté des définitions initiales ont transformé cette réglementation en un vecteur de </w:t>
      </w:r>
      <w:r w:rsidDel="00000000" w:rsidR="00000000" w:rsidRPr="00000000">
        <w:rPr>
          <w:rFonts w:ascii="Google Sans" w:cs="Google Sans" w:eastAsia="Google Sans" w:hAnsi="Google Sans"/>
          <w:i w:val="1"/>
          <w:iCs w:val="1"/>
          <w:color w:val="1f1f1f"/>
          <w:rtl w:val="0"/>
        </w:rPr>
        <w:t xml:space="preserve">greenwashing</w:t>
      </w:r>
      <w:r w:rsidDel="00000000" w:rsidR="00000000" w:rsidRPr="00000000">
        <w:rPr>
          <w:rFonts w:ascii="Google Sans" w:cs="Google Sans" w:eastAsia="Google Sans" w:hAnsi="Google Sans"/>
          <w:color w:val="1f1f1f"/>
          <w:rtl w:val="0"/>
        </w:rPr>
        <w:t xml:space="preserve"> massif, de nombreux fonds s'estampillant "Article 8" tout en conservant une forte exposition aux secteurs polluants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Pour corriger cette dérive, la Commission européenne a publié fin 2025 une proposition de refonte radicale, communément appelée </w:t>
      </w:r>
      <w:r w:rsidDel="00000000" w:rsidR="00000000" w:rsidRPr="00000000">
        <w:rPr>
          <w:rFonts w:ascii="Google Sans" w:cs="Google Sans" w:eastAsia="Google Sans" w:hAnsi="Google Sans"/>
          <w:b w:val="1"/>
          <w:bCs w:val="1"/>
          <w:color w:val="1f1f1f"/>
          <w:rtl w:val="0"/>
        </w:rPr>
        <w:t xml:space="preserve">SFDR 2.0</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SFDR 2.0 propose de supprimer le système ambigu des Articles 8 et 9 et de le remplacer par trois nouvelles catégories de produits, régies par des critères quantitatifs stricts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Sustainable (Durable) :</w:t>
      </w:r>
      <w:r w:rsidDel="00000000" w:rsidR="00000000" w:rsidRPr="00000000">
        <w:rPr>
          <w:rFonts w:ascii="Google Sans" w:cs="Google Sans" w:eastAsia="Google Sans" w:hAnsi="Google Sans"/>
          <w:color w:val="1f1f1f"/>
          <w:rtl w:val="0"/>
        </w:rPr>
        <w:t xml:space="preserve"> Fonds dont l'objectif est d'investir dans des actifs et des projets répondant déjà à des normes de durabilité élevées et contribuant de manière mesurable à des objectifs environnementaux ou sociaux</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Transition :</w:t>
      </w:r>
      <w:r w:rsidDel="00000000" w:rsidR="00000000" w:rsidRPr="00000000">
        <w:rPr>
          <w:rFonts w:ascii="Google Sans" w:cs="Google Sans" w:eastAsia="Google Sans" w:hAnsi="Google Sans"/>
          <w:color w:val="1f1f1f"/>
          <w:rtl w:val="0"/>
        </w:rPr>
        <w:t xml:space="preserve"> Fonds investissant dans des entreprises qui ne sont pas encore durables, mais qui sont engagées dans une trajectoire d'amélioration crédible et mesurable (via des plans climatiques concrets)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ESG Basics :</w:t>
      </w:r>
      <w:r w:rsidDel="00000000" w:rsidR="00000000" w:rsidRPr="00000000">
        <w:rPr>
          <w:rFonts w:ascii="Google Sans" w:cs="Google Sans" w:eastAsia="Google Sans" w:hAnsi="Google Sans"/>
          <w:color w:val="1f1f1f"/>
          <w:rtl w:val="0"/>
        </w:rPr>
        <w:t xml:space="preserve"> Fonds qui intègrent des critères ESG fondamentaux sans atteindre les objectifs d'impact des deux catégories supérieures (par exemple, stratégies d'exclusion des pires acteurs ou d'investissement </w:t>
      </w:r>
      <w:r w:rsidDel="00000000" w:rsidR="00000000" w:rsidRPr="00000000">
        <w:rPr>
          <w:rFonts w:ascii="Google Sans" w:cs="Google Sans" w:eastAsia="Google Sans" w:hAnsi="Google Sans"/>
          <w:i w:val="1"/>
          <w:iCs w:val="1"/>
          <w:color w:val="1f1f1f"/>
          <w:rtl w:val="0"/>
        </w:rPr>
        <w:t xml:space="preserve">best-in-class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bénéficier des labels "Sustainable" ou "Transition", les produits devront prouver qu'au moins 70 % des actifs de leur portefeuille sont alignés avec l'objectif de la catégorie (les 30 % restants étant dédiés à la diversification ou la liquidité sans enfreindre la philosophie du fonds)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Il existe une exception permettant de déroger au seuil de 70 % si le fonds démontre un alignement d'au moins 15 % avec la Taxonomie verte européenne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En outre, ces deux catégories supérieures intègreront des critères d'exclusion stricts, alignés sur ceux du </w:t>
      </w:r>
      <w:r w:rsidDel="00000000" w:rsidR="00000000" w:rsidRPr="00000000">
        <w:rPr>
          <w:rFonts w:ascii="Google Sans" w:cs="Google Sans" w:eastAsia="Google Sans" w:hAnsi="Google Sans"/>
          <w:i w:val="1"/>
          <w:iCs w:val="1"/>
          <w:color w:val="1f1f1f"/>
          <w:rtl w:val="0"/>
        </w:rPr>
        <w:t xml:space="preserve">Paris-Aligned Benchmark</w:t>
      </w:r>
      <w:r w:rsidDel="00000000" w:rsidR="00000000" w:rsidRPr="00000000">
        <w:rPr>
          <w:rFonts w:ascii="Google Sans" w:cs="Google Sans" w:eastAsia="Google Sans" w:hAnsi="Google Sans"/>
          <w:color w:val="1f1f1f"/>
          <w:rtl w:val="0"/>
        </w:rPr>
        <w:t xml:space="preserve"> (PAB), interdisant tout investissement dans des sociétés développant de nouveaux projets charbonniers, pétroliers ou gaziers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cette refonte clarifie indéniablement le marché, des think tanks spécialisés comme IEEFA mettent en garde contre une faille potentielle dans la catégorie "ESG Basics", qui, n'ayant pas d'exclusions formelles concernant le développement de nouveaux hydrocarbures, pourrait induire les consommateurs en erreur et maintenir à flot des financements écocides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Les projections indiquent que les fonds "Article 8" actuels pourraient voir leur part de marché s'effondrer de plus de moitié, se stabilisant autour de 22 % dans la catégorie ESG Basics, tandis que la catégorie d'excellence "Sustainable" resterait confinée à une proportion de 4,5 % à 7 % du marché européen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Conjointement avec la directive MiFID II, qui oblige les conseillers financiers à sonder les préférences de durabilité de leurs clients, SFDR 2.0 vise à rediriger structurellement l'épargne vers la transition écologique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L'éthique bancaire en pratique : Finance solidaire et exigences citoyennes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les instances régulatrices tentent d'imposer des cadres macroéconomiques, l'émergence d'acteurs de la finance solidaire et l'activisme de la société civile démontrent que l'intégration pleine et entière de la conscience dans les mécanismes financiers est à la fois possible et réclamée par les citoyens.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Laboratoire d'éthique : Le clivage du secteur bancaire belge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banques coopératives et les structures de l'Économie Sociale et Solidaire (ESS) illustrent la viabilité d'un modèle fondé non pas sur la maximisation du profit à court terme, mais sur la recherche équilibrée d'utilité sociale et de rentabilité modérée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L'absence de cotation boursière libère ces structures des pressions spéculatives et permet l'établissement d'une "finance lente" (</w:t>
      </w:r>
      <w:r w:rsidDel="00000000" w:rsidR="00000000" w:rsidRPr="00000000">
        <w:rPr>
          <w:rFonts w:ascii="Google Sans" w:cs="Google Sans" w:eastAsia="Google Sans" w:hAnsi="Google Sans"/>
          <w:i w:val="1"/>
          <w:iCs w:val="1"/>
          <w:color w:val="1f1f1f"/>
          <w:rtl w:val="0"/>
        </w:rPr>
        <w:t xml:space="preserve">slow finance</w:t>
      </w:r>
      <w:r w:rsidDel="00000000" w:rsidR="00000000" w:rsidRPr="00000000">
        <w:rPr>
          <w:rFonts w:ascii="Google Sans" w:cs="Google Sans" w:eastAsia="Google Sans" w:hAnsi="Google Sans"/>
          <w:color w:val="1f1f1f"/>
          <w:rtl w:val="0"/>
        </w:rPr>
        <w:t xml:space="preserve">), propice à des investissements patients dans la transition écologique (coopératives éoliennes, éco-construction, inclusion sociale) et dotée d'une gouvernance démocratique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L'évaluation indépendante du marché permet de chiffrer l'écart qui sépare la finance éthique de la finance conventionnelle. En Belgique, le </w:t>
      </w:r>
      <w:r w:rsidDel="00000000" w:rsidR="00000000" w:rsidRPr="00000000">
        <w:rPr>
          <w:rFonts w:ascii="Google Sans" w:cs="Google Sans" w:eastAsia="Google Sans" w:hAnsi="Google Sans"/>
          <w:b w:val="1"/>
          <w:bCs w:val="1"/>
          <w:color w:val="1f1f1f"/>
          <w:rtl w:val="0"/>
        </w:rPr>
        <w:t xml:space="preserve">Scan des banques</w:t>
      </w:r>
      <w:r w:rsidDel="00000000" w:rsidR="00000000" w:rsidRPr="00000000">
        <w:rPr>
          <w:rFonts w:ascii="Google Sans" w:cs="Google Sans" w:eastAsia="Google Sans" w:hAnsi="Google Sans"/>
          <w:color w:val="1f1f1f"/>
          <w:rtl w:val="0"/>
        </w:rPr>
        <w:t xml:space="preserve">, un audit rigoureux réalisé tous les deux ans par les ONG FairFin et Financité, passe au crible les politiques d'investissement des banques selon dix thématiques (changement climatique, droits humains, évasion fiscale, corruption, armement, etc.)</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L'édition 2026 de ce rapport met en exergue une stagnation inquiétante des grandes institutions et une bipolarisation du secteur</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 2026</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 Bancaire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Score Global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Observations clés sur les politiques d'investissement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Banque Triodos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Leader historique du financement durable en Belgique. Exclusion stricte de toute activité nuisible (énergies fossiles, armement) et scores maximaux sur les droits humains et le climat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vdk banque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Solide progression continue (69% en 2022, 78% en 2024). Pratiques d'exclusion sévères incluant les armes de destruction massive et forte politique climatique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KBC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Première des "grandes banques". A fixé des objectifs d'alignement climatique (1.5°C), mais a modifié ses règles pour réinvestir dans l'armement nucléaire de pays membres de l'OTAN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Argenta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Chute dans le classement. Bien qu'elle affiche un bon score climatique, elle autorise désormais certains investissements dans des systèmes d'armes automatisés pilotés par Intelligence Artificielle (IA)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BNP Paribas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Obtient le pire score en matière d'armement parmi les grandes banques, sans restrictions claires sur les livraisons d'armes à des pays commettant de graves violations des droits humains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Score médiocre. Historique d'investissement continu dans les armes nucléaires et politiques climatiques sous-dimensionnées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Belfius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Banque publique belge critiquée pour un score insuffisant sur le climat (48%) et l'armement (56%), réinvestissant également dans les armes nucléaires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Beobank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Intégrée pour la première fois dans l'évaluation en 2026, elle figure immédiatement en queue de peloton aux côtés de Belfius et Crelan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L'analyse de ces résultats est édifiante : la volonté d'intégration des critères éthiques semble s'estomper chez les acteurs traditionnels dès lors que la conjoncture géopolitique offre de nouvelles opportunités de rendements. Le revirement d'institutions comme KBC et Belfius, qui réautorisent le financement de l'armement nucléaire, ou l'ambiguïté d'Argenta face aux armes létales autonomes, démontrent que les politiques volontaristes sans ancrage éthique profond sont hautement réversibles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Dans ce contexte, l'écosystème belge a également vu le développement de normes de marché strictes telles que le label </w:t>
      </w:r>
      <w:r w:rsidDel="00000000" w:rsidR="00000000" w:rsidRPr="00000000">
        <w:rPr>
          <w:rFonts w:ascii="Google Sans" w:cs="Google Sans" w:eastAsia="Google Sans" w:hAnsi="Google Sans"/>
          <w:b w:val="1"/>
          <w:bCs w:val="1"/>
          <w:color w:val="1f1f1f"/>
          <w:rtl w:val="0"/>
        </w:rPr>
        <w:t xml:space="preserve">"Towards Sustainability"</w:t>
      </w:r>
      <w:r w:rsidDel="00000000" w:rsidR="00000000" w:rsidRPr="00000000">
        <w:rPr>
          <w:rFonts w:ascii="Google Sans" w:cs="Google Sans" w:eastAsia="Google Sans" w:hAnsi="Google Sans"/>
          <w:color w:val="1f1f1f"/>
          <w:rtl w:val="0"/>
        </w:rPr>
        <w:t xml:space="preserve">, géré par la Central Labelling Agency, qui, en imposant des exclusions rigoureuses (charbon, armes controversées) et une analyse ESG poussée, qualifiait en 2026 pas moins de 771 fonds représentant 539 milliards d'euros d'encours, prouvant la faisabilité opérationnelle d'une finance balisée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Propositions macroéconomiques de régulation systémique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contraindre le capitalisme financier mondialisé, la recherche économique hétérodoxe et institutionnelle suggère des leviers structurels dépassant la simple transparence :</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séparation bancaire radicale :</w:t>
      </w:r>
      <w:r w:rsidDel="00000000" w:rsidR="00000000" w:rsidRPr="00000000">
        <w:rPr>
          <w:rFonts w:ascii="Google Sans" w:cs="Google Sans" w:eastAsia="Google Sans" w:hAnsi="Google Sans"/>
          <w:color w:val="1f1f1f"/>
          <w:rtl w:val="0"/>
        </w:rPr>
        <w:t xml:space="preserve"> L'économiste Gaël Giraud soutient la nécessité de ressusciter un mécanisme similaire au </w:t>
      </w:r>
      <w:r w:rsidDel="00000000" w:rsidR="00000000" w:rsidRPr="00000000">
        <w:rPr>
          <w:rFonts w:ascii="Google Sans" w:cs="Google Sans" w:eastAsia="Google Sans" w:hAnsi="Google Sans"/>
          <w:i w:val="1"/>
          <w:iCs w:val="1"/>
          <w:color w:val="1f1f1f"/>
          <w:rtl w:val="0"/>
        </w:rPr>
        <w:t xml:space="preserve">Glass-Steagall Act</w:t>
      </w:r>
      <w:r w:rsidDel="00000000" w:rsidR="00000000" w:rsidRPr="00000000">
        <w:rPr>
          <w:rFonts w:ascii="Google Sans" w:cs="Google Sans" w:eastAsia="Google Sans" w:hAnsi="Google Sans"/>
          <w:color w:val="1f1f1f"/>
          <w:rtl w:val="0"/>
        </w:rPr>
        <w:t xml:space="preserve"> historique, qui imposerait une scission infranchissable entre les banques de dépôt et les banques de financement et d'investissement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Cette séparation protégerait les dépôts des citoyens et endiguerait la menace du "too big to fail", en évitant que les États ne soient contraints de socialiser les pertes générées par la spéculation effrénée sur les dérivés.</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 Taxe Tobin (Taxe sur les Transactions Financières - TTF) :</w:t>
      </w:r>
      <w:r w:rsidDel="00000000" w:rsidR="00000000" w:rsidRPr="00000000">
        <w:rPr>
          <w:rFonts w:ascii="Google Sans" w:cs="Google Sans" w:eastAsia="Google Sans" w:hAnsi="Google Sans"/>
          <w:color w:val="1f1f1f"/>
          <w:rtl w:val="0"/>
        </w:rPr>
        <w:t xml:space="preserve"> Cet outil vise à insérer des "grains de sable" dans les rouages fluides de la finance mondiale en prélevant une micro-taxe sur chaque transaction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Bien qu'elle aurait le double mérite de réduire drastiquement la volatilité liée au trading à haute fréquence et de dégager des ressources considérables pour financer le développement et la transition écologique, son application se heurte systématiquement aux craintes de fuite des capitaux et aux blocages diplomatiques des États membres de l'Union européenne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L'écologisation du mandat des Banques Centrales :</w:t>
      </w:r>
      <w:r w:rsidDel="00000000" w:rsidR="00000000" w:rsidRPr="00000000">
        <w:rPr>
          <w:rFonts w:ascii="Google Sans" w:cs="Google Sans" w:eastAsia="Google Sans" w:hAnsi="Google Sans"/>
          <w:color w:val="1f1f1f"/>
          <w:rtl w:val="0"/>
        </w:rPr>
        <w:t xml:space="preserve"> La résolution systémique du problème de la "bulle carbone" nécessite que les banques centrales, dont les opérations monétaires structurent la liquidité du système, conditionnent leurs facilités de refinancement à des trajectoires de décarbonation rigoureuses des actifs bancaires, assumant ainsi un rôle de prêteur en dernier ressort climatique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L'hypothèse selon laquelle une finance fonctionnant sans conscience conduit à la ruine de l'humanité ne relève plus de la spéculation morale ou de la critique purement philosophique ; elle est empiriquement démontrée par l'accumulation des crises systémiques modernes. En érigeant la primauté de la valeur actionnariale en dogme absolu et en postulant la séparabilité illusoire entre la maximisation financière et la responsabilité sociétale, l'architecture intellectuelle dérivée des travaux de Milton Friedman a engendré une industrie prédatrice.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crise des subprimes de 2008 a exposé la faillite d'une finance de l'opacité et de la spéculation algorithmique, incapable d'évaluer les risques à long terme et prompte à socialiser ses pertes massives sur le dos des économies nationales et de l'emploi mondial. Aujourd'hui, cette myopie structurelle a atteint son apogée à travers le financement obstiné du chaos climatique. En injectant 869 milliards de dollars supplémentaires dans l'industrie fossile en 2024, le secteur bancaire traditionnel contredit les consensus scientifiques et alimente une "bulle carbone" qui se muera inévitablement en une crise des actifs échoués, transformant un désastre écologique en une débâcle financière globale.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Néanmoins, les germes d'une réintégration de la conscience dans la sphère financière sont perceptibles. La révolution comptable initiée par la CSRD et le concept de Double Matérialité, ainsi que les tentatives de structuration du marché imposées par SFDR 2.0 pour endiguer l'écoblanchiment, traduisent une volonté politique inédite de forcer les acteurs économiques à internaliser leurs externalités. Parallèlement, le succès des acteurs de la finance éthique, mis en lumière par le classement des banques en Belgique, prouve qu'un modèle bancaire conjuguant rentabilité et respect intransigeant du bien commun est parfaitement fonctionnel.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éviter la ruine définitive de nos écosystèmes et de nos sociétés, il apparaît indispensable d'aller au-delà de l'autorégulation de marché. Seules des réformes structurelles coercitives — incluant la stricte séparation bancaire, l'imposition systémique d'une transparence intégrale, et l'exclusion définitive des investissements climaticides — permettront d'ancrer définitivement la finance dans la biosphère et au service de l'humanité.</w:t>
      </w:r>
    </w:p>
    <w:p w:rsidR="00000000" w:rsidDel="00000000" w:rsidP="00000000" w:rsidRDefault="00000000" w:rsidRPr="00000000" w14:paraId="0000009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Sources des citations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EDITIONS UNICITE | ROMANS | POESIE | ESSAIS | HISTOIRE, </w:t>
      </w:r>
      <w:hyperlink r:id="rId6">
        <w:r w:rsidDel="00000000" w:rsidR="00000000" w:rsidRPr="00000000">
          <w:rPr>
            <w:rFonts w:ascii="Google Sans" w:cs="Google Sans" w:eastAsia="Google Sans" w:hAnsi="Google Sans"/>
            <w:color w:val="0000ee"/>
            <w:sz w:val="24"/>
            <w:szCs w:val="24"/>
            <w:u w:val="single"/>
            <w:rtl w:val="0"/>
          </w:rPr>
          <w:t xml:space="preserve">http://www.editions-unicite.fr/category/essais.php</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Recette pour le désastre : Le rôle du FMI et de la Banque mondiale, </w:t>
      </w:r>
      <w:hyperlink r:id="rId7">
        <w:r w:rsidDel="00000000" w:rsidR="00000000" w:rsidRPr="00000000">
          <w:rPr>
            <w:rFonts w:ascii="Google Sans" w:cs="Google Sans" w:eastAsia="Google Sans" w:hAnsi="Google Sans"/>
            <w:color w:val="0000ee"/>
            <w:sz w:val="24"/>
            <w:szCs w:val="24"/>
            <w:u w:val="single"/>
            <w:rtl w:val="0"/>
          </w:rPr>
          <w:t xml:space="preserve">https://www.ritimo.org/Recette_pour_le_desastre_FMI_Banque_Mondiale</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Friedman's Shareholder Theory of CSR | PDF - Scribd, </w:t>
      </w:r>
      <w:hyperlink r:id="rId8">
        <w:r w:rsidDel="00000000" w:rsidR="00000000" w:rsidRPr="00000000">
          <w:rPr>
            <w:rFonts w:ascii="Google Sans" w:cs="Google Sans" w:eastAsia="Google Sans" w:hAnsi="Google Sans"/>
            <w:color w:val="0000ee"/>
            <w:sz w:val="24"/>
            <w:szCs w:val="24"/>
            <w:u w:val="single"/>
            <w:rtl w:val="0"/>
          </w:rPr>
          <w:t xml:space="preserve">https://www.scribd.com/document/958421141/Milt-Friedman-App-Csr</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Social Responsibility Of Business by Milton Friedman | PPT, </w:t>
      </w:r>
      <w:hyperlink r:id="rId9">
        <w:r w:rsidDel="00000000" w:rsidR="00000000" w:rsidRPr="00000000">
          <w:rPr>
            <w:rFonts w:ascii="Google Sans" w:cs="Google Sans" w:eastAsia="Google Sans" w:hAnsi="Google Sans"/>
            <w:color w:val="0000ee"/>
            <w:sz w:val="24"/>
            <w:szCs w:val="24"/>
            <w:u w:val="single"/>
            <w:rtl w:val="0"/>
          </w:rPr>
          <w:t xml:space="preserve">https://www.slideshare.net/slideshow/4-bse-the-social-responsibility-of-business-is-to-increase-profits/3042420</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On The Article “The Social Responsibility of Business is, </w:t>
      </w:r>
      <w:hyperlink r:id="rId10">
        <w:r w:rsidDel="00000000" w:rsidR="00000000" w:rsidRPr="00000000">
          <w:rPr>
            <w:rFonts w:ascii="Google Sans" w:cs="Google Sans" w:eastAsia="Google Sans" w:hAnsi="Google Sans"/>
            <w:color w:val="0000ee"/>
            <w:sz w:val="24"/>
            <w:szCs w:val="24"/>
            <w:u w:val="single"/>
            <w:rtl w:val="0"/>
          </w:rPr>
          <w:t xml:space="preserve">https://www.simtrade.fr/blog_simtrade/deep-dive-on-the-article-the-social-responsibility-of-business-is-to-increase-its-profits-by-milton-friedman/</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Friedman doctrine - Wikipedia, </w:t>
      </w:r>
      <w:hyperlink r:id="rId11">
        <w:r w:rsidDel="00000000" w:rsidR="00000000" w:rsidRPr="00000000">
          <w:rPr>
            <w:rFonts w:ascii="Google Sans" w:cs="Google Sans" w:eastAsia="Google Sans" w:hAnsi="Google Sans"/>
            <w:color w:val="0000ee"/>
            <w:sz w:val="24"/>
            <w:szCs w:val="24"/>
            <w:u w:val="single"/>
            <w:rtl w:val="0"/>
          </w:rPr>
          <w:t xml:space="preserve">https://en.wikipedia.org/wiki/Friedman_doctrine</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It's Time to Rethink Milton Friedman's 'Shareholder Value' Argument, </w:t>
      </w:r>
      <w:hyperlink r:id="rId12">
        <w:r w:rsidDel="00000000" w:rsidR="00000000" w:rsidRPr="00000000">
          <w:rPr>
            <w:rFonts w:ascii="Google Sans" w:cs="Google Sans" w:eastAsia="Google Sans" w:hAnsi="Google Sans"/>
            <w:color w:val="0000ee"/>
            <w:sz w:val="24"/>
            <w:szCs w:val="24"/>
            <w:u w:val="single"/>
            <w:rtl w:val="0"/>
          </w:rPr>
          <w:t xml:space="preserve">https://www.chicagobooth.edu/review/its-time-rethink-milton-friedmans-shareholder-value-argument</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Stakeholder Capitalism Can Learn from Milton Friedman, </w:t>
      </w:r>
      <w:hyperlink r:id="rId13">
        <w:r w:rsidDel="00000000" w:rsidR="00000000" w:rsidRPr="00000000">
          <w:rPr>
            <w:rFonts w:ascii="Google Sans" w:cs="Google Sans" w:eastAsia="Google Sans" w:hAnsi="Google Sans"/>
            <w:color w:val="0000ee"/>
            <w:sz w:val="24"/>
            <w:szCs w:val="24"/>
            <w:u w:val="single"/>
            <w:rtl w:val="0"/>
          </w:rPr>
          <w:t xml:space="preserve">https://blogs.law.ox.ac.uk/business-law-blog/blog/2020/11/what-stakeholder-capitalism-can-learn-milton-friedman</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Must Milton Friedman Embrace Stakeholder Theory? - IDEAS/RePEc, </w:t>
      </w:r>
      <w:hyperlink r:id="rId14">
        <w:r w:rsidDel="00000000" w:rsidR="00000000" w:rsidRPr="00000000">
          <w:rPr>
            <w:rFonts w:ascii="Google Sans" w:cs="Google Sans" w:eastAsia="Google Sans" w:hAnsi="Google Sans"/>
            <w:color w:val="0000ee"/>
            <w:sz w:val="24"/>
            <w:szCs w:val="24"/>
            <w:u w:val="single"/>
            <w:rtl w:val="0"/>
          </w:rPr>
          <w:t xml:space="preserve">https://ideas.repec.org/p/una/unccee/wp1012.html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Double Matérialité dans le monde, </w:t>
      </w:r>
      <w:hyperlink r:id="rId15">
        <w:r w:rsidDel="00000000" w:rsidR="00000000" w:rsidRPr="00000000">
          <w:rPr>
            <w:rFonts w:ascii="Google Sans" w:cs="Google Sans" w:eastAsia="Google Sans" w:hAnsi="Google Sans"/>
            <w:color w:val="0000ee"/>
            <w:sz w:val="24"/>
            <w:szCs w:val="24"/>
            <w:u w:val="single"/>
            <w:rtl w:val="0"/>
          </w:rPr>
          <w:t xml:space="preserve">https://chaire-double-materialite.org/La_Double_Materialite_dans_le_monde_RAPPORT_FEV2025.pdf</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Directive CSRD, définition et plan d'actions - WeCount, </w:t>
      </w:r>
      <w:hyperlink r:id="rId16">
        <w:r w:rsidDel="00000000" w:rsidR="00000000" w:rsidRPr="00000000">
          <w:rPr>
            <w:rFonts w:ascii="Google Sans" w:cs="Google Sans" w:eastAsia="Google Sans" w:hAnsi="Google Sans"/>
            <w:color w:val="0000ee"/>
            <w:sz w:val="24"/>
            <w:szCs w:val="24"/>
            <w:u w:val="single"/>
            <w:rtl w:val="0"/>
          </w:rPr>
          <w:t xml:space="preserve">https://www.wecount.io/ressources-articles/directive-csrd-definition-et-plan-daction</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crise des subprimes - Conseil d'Analyse Economique, </w:t>
      </w:r>
      <w:hyperlink r:id="rId17">
        <w:r w:rsidDel="00000000" w:rsidR="00000000" w:rsidRPr="00000000">
          <w:rPr>
            <w:rFonts w:ascii="Google Sans" w:cs="Google Sans" w:eastAsia="Google Sans" w:hAnsi="Google Sans"/>
            <w:color w:val="0000ee"/>
            <w:sz w:val="24"/>
            <w:szCs w:val="24"/>
            <w:u w:val="single"/>
            <w:rtl w:val="0"/>
          </w:rPr>
          <w:t xml:space="preserve">https://cae-eco.fr/static/pdf/078.pdf</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L'illusion financière - Melchior, </w:t>
      </w:r>
      <w:hyperlink r:id="rId18">
        <w:r w:rsidDel="00000000" w:rsidR="00000000" w:rsidRPr="00000000">
          <w:rPr>
            <w:rFonts w:ascii="Google Sans" w:cs="Google Sans" w:eastAsia="Google Sans" w:hAnsi="Google Sans"/>
            <w:color w:val="0000ee"/>
            <w:sz w:val="24"/>
            <w:szCs w:val="24"/>
            <w:u w:val="single"/>
            <w:rtl w:val="0"/>
          </w:rPr>
          <w:t xml:space="preserve">https://www.melchior.fr/note-de-lecture/l-illusion-financiere</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Crise financière de 2008 - La finance pour tous, </w:t>
      </w:r>
      <w:hyperlink r:id="rId19">
        <w:r w:rsidDel="00000000" w:rsidR="00000000" w:rsidRPr="00000000">
          <w:rPr>
            <w:rFonts w:ascii="Google Sans" w:cs="Google Sans" w:eastAsia="Google Sans" w:hAnsi="Google Sans"/>
            <w:color w:val="0000ee"/>
            <w:sz w:val="24"/>
            <w:szCs w:val="24"/>
            <w:u w:val="single"/>
            <w:rtl w:val="0"/>
          </w:rPr>
          <w:t xml:space="preserve">https://www.lafinancepourtous.com/decryptages/crises-economiques/crise-des-subprimes/crise-financiere/</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crise de 2008 | Banque de France, </w:t>
      </w:r>
      <w:hyperlink r:id="rId20">
        <w:r w:rsidDel="00000000" w:rsidR="00000000" w:rsidRPr="00000000">
          <w:rPr>
            <w:rFonts w:ascii="Google Sans" w:cs="Google Sans" w:eastAsia="Google Sans" w:hAnsi="Google Sans"/>
            <w:color w:val="0000ee"/>
            <w:sz w:val="24"/>
            <w:szCs w:val="24"/>
            <w:u w:val="single"/>
            <w:rtl w:val="0"/>
          </w:rPr>
          <w:t xml:space="preserve">https://www.banque-france.fr/fr/publications-et-statistiques/publications/la-crise-de-2008</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transition écologique, avenir de l'Europe - La Vie des idées, </w:t>
      </w:r>
      <w:hyperlink r:id="rId21">
        <w:r w:rsidDel="00000000" w:rsidR="00000000" w:rsidRPr="00000000">
          <w:rPr>
            <w:rFonts w:ascii="Google Sans" w:cs="Google Sans" w:eastAsia="Google Sans" w:hAnsi="Google Sans"/>
            <w:color w:val="0000ee"/>
            <w:sz w:val="24"/>
            <w:szCs w:val="24"/>
            <w:u w:val="single"/>
            <w:rtl w:val="0"/>
          </w:rPr>
          <w:t xml:space="preserve">https://laviedesidees.fr/La-transition-ecologique-avenir-de-l-Europe</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L'économie de demain | Sator, </w:t>
      </w:r>
      <w:hyperlink r:id="rId22">
        <w:r w:rsidDel="00000000" w:rsidR="00000000" w:rsidRPr="00000000">
          <w:rPr>
            <w:rFonts w:ascii="Google Sans" w:cs="Google Sans" w:eastAsia="Google Sans" w:hAnsi="Google Sans"/>
            <w:color w:val="0000ee"/>
            <w:sz w:val="24"/>
            <w:szCs w:val="24"/>
            <w:u w:val="single"/>
            <w:rtl w:val="0"/>
          </w:rPr>
          <w:t xml:space="preserve">https://www.sator.fr/cours/leconomie-de-demain</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de la crise économique de 2008-2009 sur le modèle de, </w:t>
      </w:r>
      <w:hyperlink r:id="rId23">
        <w:r w:rsidDel="00000000" w:rsidR="00000000" w:rsidRPr="00000000">
          <w:rPr>
            <w:rFonts w:ascii="Google Sans" w:cs="Google Sans" w:eastAsia="Google Sans" w:hAnsi="Google Sans"/>
            <w:color w:val="0000ee"/>
            <w:sz w:val="24"/>
            <w:szCs w:val="24"/>
            <w:u w:val="single"/>
            <w:rtl w:val="0"/>
          </w:rPr>
          <w:t xml:space="preserve">https://archipel.uqam.ca/4580/1/M12387.pdf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Edition 2025 du rapport Banking on climate chaos - Reclaim Finance, </w:t>
      </w:r>
      <w:hyperlink r:id="rId24">
        <w:r w:rsidDel="00000000" w:rsidR="00000000" w:rsidRPr="00000000">
          <w:rPr>
            <w:rFonts w:ascii="Google Sans" w:cs="Google Sans" w:eastAsia="Google Sans" w:hAnsi="Google Sans"/>
            <w:color w:val="0000ee"/>
            <w:sz w:val="24"/>
            <w:szCs w:val="24"/>
            <w:u w:val="single"/>
            <w:rtl w:val="0"/>
          </w:rPr>
          <w:t xml:space="preserve">https://reclaimfinance.org/site/2025/06/17/edition-2025-du-rapport-banking-on-climate-chaos/</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on Climate Chaos 2025 - Profundo, </w:t>
      </w:r>
      <w:hyperlink r:id="rId25">
        <w:r w:rsidDel="00000000" w:rsidR="00000000" w:rsidRPr="00000000">
          <w:rPr>
            <w:rFonts w:ascii="Google Sans" w:cs="Google Sans" w:eastAsia="Google Sans" w:hAnsi="Google Sans"/>
            <w:color w:val="0000ee"/>
            <w:sz w:val="24"/>
            <w:szCs w:val="24"/>
            <w:u w:val="single"/>
            <w:rtl w:val="0"/>
          </w:rPr>
          <w:t xml:space="preserve">https://profundo.nl/projects/bocc-2025/</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banques financent toujours trop les hydrocarbures (ONG), </w:t>
      </w:r>
      <w:hyperlink r:id="rId26">
        <w:r w:rsidDel="00000000" w:rsidR="00000000" w:rsidRPr="00000000">
          <w:rPr>
            <w:rFonts w:ascii="Google Sans" w:cs="Google Sans" w:eastAsia="Google Sans" w:hAnsi="Google Sans"/>
            <w:color w:val="0000ee"/>
            <w:sz w:val="24"/>
            <w:szCs w:val="24"/>
            <w:u w:val="single"/>
            <w:rtl w:val="0"/>
          </w:rPr>
          <w:t xml:space="preserve">https://www.boursorama.com/videos/actualites/les-banques-financent-toujours-trop-les-hydrocarbures-ong-23ac1ae0c0dd5e2d3dc2c535f74888a7</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 de BNP : des engagements pour le climat qui se font toujours, </w:t>
      </w:r>
      <w:hyperlink r:id="rId27">
        <w:r w:rsidDel="00000000" w:rsidR="00000000" w:rsidRPr="00000000">
          <w:rPr>
            <w:rFonts w:ascii="Google Sans" w:cs="Google Sans" w:eastAsia="Google Sans" w:hAnsi="Google Sans"/>
            <w:color w:val="0000ee"/>
            <w:sz w:val="24"/>
            <w:szCs w:val="24"/>
            <w:u w:val="single"/>
            <w:rtl w:val="0"/>
          </w:rPr>
          <w:t xml:space="preserve">https://www.amisdelaterre.org/ag-bnp-engagements-climat-se-font-toujours-attendre/</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Edition 2026 du rapport Banking on climate chaos - Reclaim Finance, </w:t>
      </w:r>
      <w:hyperlink r:id="rId28">
        <w:r w:rsidDel="00000000" w:rsidR="00000000" w:rsidRPr="00000000">
          <w:rPr>
            <w:rFonts w:ascii="Google Sans" w:cs="Google Sans" w:eastAsia="Google Sans" w:hAnsi="Google Sans"/>
            <w:color w:val="0000ee"/>
            <w:sz w:val="24"/>
            <w:szCs w:val="24"/>
            <w:u w:val="single"/>
            <w:rtl w:val="0"/>
          </w:rPr>
          <w:t xml:space="preserve">https://reclaimfinance.org/site/2026/06/09/edition-2026-du-rapport-banking-on-climate-chaos/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Charbon : l'argent sale des banques françaises | Les Amis de la Terre, </w:t>
      </w:r>
      <w:hyperlink r:id="rId29">
        <w:r w:rsidDel="00000000" w:rsidR="00000000" w:rsidRPr="00000000">
          <w:rPr>
            <w:rFonts w:ascii="Google Sans" w:cs="Google Sans" w:eastAsia="Google Sans" w:hAnsi="Google Sans"/>
            <w:color w:val="0000ee"/>
            <w:sz w:val="24"/>
            <w:szCs w:val="24"/>
            <w:u w:val="single"/>
            <w:rtl w:val="0"/>
          </w:rPr>
          <w:t xml:space="preserve">https://www.amisdelaterre.org/wp-content/uploads/2014/10/argentsalebanquesfr.pdf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Réaction de la FBF au rapport « Banking on Climate Chaos, </w:t>
      </w:r>
      <w:hyperlink r:id="rId30">
        <w:r w:rsidDel="00000000" w:rsidR="00000000" w:rsidRPr="00000000">
          <w:rPr>
            <w:rFonts w:ascii="Google Sans" w:cs="Google Sans" w:eastAsia="Google Sans" w:hAnsi="Google Sans"/>
            <w:color w:val="0000ee"/>
            <w:sz w:val="24"/>
            <w:szCs w:val="24"/>
            <w:u w:val="single"/>
            <w:rtl w:val="0"/>
          </w:rPr>
          <w:t xml:space="preserve">https://www.fbf.fr/fr/reaction-de-la-fbf-au-rapport-banking-on-climate-chaos-publie-par-un-consortium-dong/</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Réaction du Groupe BPCE suite à la publication du rapport Banking, </w:t>
      </w:r>
      <w:hyperlink r:id="rId31">
        <w:r w:rsidDel="00000000" w:rsidR="00000000" w:rsidRPr="00000000">
          <w:rPr>
            <w:rFonts w:ascii="Google Sans" w:cs="Google Sans" w:eastAsia="Google Sans" w:hAnsi="Google Sans"/>
            <w:color w:val="0000ee"/>
            <w:sz w:val="24"/>
            <w:szCs w:val="24"/>
            <w:u w:val="single"/>
            <w:rtl w:val="0"/>
          </w:rPr>
          <w:t xml:space="preserve">https://newsroom.groupebpce.fr/actualites/reaction-du-groupe-bpce-suite-a-la-publication-du-rapport-banking-on-climate-chaos-a4fbd-7b707.html</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Feux de forêt californiens et mise en exergue d'un risque de crise, </w:t>
      </w:r>
      <w:hyperlink r:id="rId32">
        <w:r w:rsidDel="00000000" w:rsidR="00000000" w:rsidRPr="00000000">
          <w:rPr>
            <w:rFonts w:ascii="Google Sans" w:cs="Google Sans" w:eastAsia="Google Sans" w:hAnsi="Google Sans"/>
            <w:color w:val="0000ee"/>
            <w:sz w:val="24"/>
            <w:szCs w:val="24"/>
            <w:u w:val="single"/>
            <w:rtl w:val="0"/>
          </w:rPr>
          <w:t xml:space="preserve">https://bsi-economics.org/feux-de-foret-californiens-et-mise-en-exergue-dun-risque-de-crise-systemique-demeler-le-vrai-du-faux-note/</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Chapitre 4. Monnaie, finance et changement climatique | Cairn.info, </w:t>
      </w:r>
      <w:hyperlink r:id="rId33">
        <w:r w:rsidDel="00000000" w:rsidR="00000000" w:rsidRPr="00000000">
          <w:rPr>
            <w:rFonts w:ascii="Google Sans" w:cs="Google Sans" w:eastAsia="Google Sans" w:hAnsi="Google Sans"/>
            <w:color w:val="0000ee"/>
            <w:sz w:val="24"/>
            <w:szCs w:val="24"/>
            <w:u w:val="single"/>
            <w:rtl w:val="0"/>
          </w:rPr>
          <w:t xml:space="preserve">https://shs.cairn.info/futur-de-la-monnaie--9782738153999-page-151?lang=fr</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INCIDENCES ÉCONOMIQUES DE L'ACTION POUR LE, </w:t>
      </w:r>
      <w:hyperlink r:id="rId34">
        <w:r w:rsidDel="00000000" w:rsidR="00000000" w:rsidRPr="00000000">
          <w:rPr>
            <w:rFonts w:ascii="Google Sans" w:cs="Google Sans" w:eastAsia="Google Sans" w:hAnsi="Google Sans"/>
            <w:color w:val="0000ee"/>
            <w:sz w:val="24"/>
            <w:szCs w:val="24"/>
            <w:u w:val="single"/>
            <w:rtl w:val="0"/>
          </w:rPr>
          <w:t xml:space="preserve">https://www.vie-publique.fr/files/rapports/fichiers_joints/289488-rapports%20th%C3%A9matiques%206-11.pdf</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 document est une publication en ligne convertie en format PDF, </w:t>
      </w:r>
      <w:hyperlink r:id="rId35">
        <w:r w:rsidDel="00000000" w:rsidR="00000000" w:rsidRPr="00000000">
          <w:rPr>
            <w:rFonts w:ascii="Google Sans" w:cs="Google Sans" w:eastAsia="Google Sans" w:hAnsi="Google Sans"/>
            <w:color w:val="0000ee"/>
            <w:sz w:val="24"/>
            <w:szCs w:val="24"/>
            <w:u w:val="single"/>
            <w:rtl w:val="0"/>
          </w:rPr>
          <w:t xml:space="preserve">https://www.bibliotheque.assnat.qc.ca/DepotNumerique_v2/AffichageFichier.aspx?idf=149642</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MOBILISER LES FINANCEMENTS POUR LE CLIMAT UNE, </w:t>
      </w:r>
      <w:hyperlink r:id="rId36">
        <w:r w:rsidDel="00000000" w:rsidR="00000000" w:rsidRPr="00000000">
          <w:rPr>
            <w:rFonts w:ascii="Google Sans" w:cs="Google Sans" w:eastAsia="Google Sans" w:hAnsi="Google Sans"/>
            <w:color w:val="0000ee"/>
            <w:sz w:val="24"/>
            <w:szCs w:val="24"/>
            <w:u w:val="single"/>
            <w:rtl w:val="0"/>
          </w:rPr>
          <w:t xml:space="preserve">https://carbone4.com/files/wp-content/uploads/2015/06/Rapport-CANFIN-GRANDJEAN-FINAL-18062015.pdf</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TOTAL FAIT DU SALE : - Reclaim Finance, </w:t>
      </w:r>
      <w:hyperlink r:id="rId37">
        <w:r w:rsidDel="00000000" w:rsidR="00000000" w:rsidRPr="00000000">
          <w:rPr>
            <w:rFonts w:ascii="Google Sans" w:cs="Google Sans" w:eastAsia="Google Sans" w:hAnsi="Google Sans"/>
            <w:color w:val="0000ee"/>
            <w:sz w:val="24"/>
            <w:szCs w:val="24"/>
            <w:u w:val="single"/>
            <w:rtl w:val="0"/>
          </w:rPr>
          <w:t xml:space="preserve">https://reclaimfinance.org/site/wp-content/uploads/2021/02/TotalFaitDuSale_LaFinanceComplice-1.pdf</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DE L'INVESTISSEMENT DURABLE Contexte, approches et, </w:t>
      </w:r>
      <w:hyperlink r:id="rId38">
        <w:r w:rsidDel="00000000" w:rsidR="00000000" w:rsidRPr="00000000">
          <w:rPr>
            <w:rFonts w:ascii="Google Sans" w:cs="Google Sans" w:eastAsia="Google Sans" w:hAnsi="Google Sans"/>
            <w:color w:val="0000ee"/>
            <w:sz w:val="24"/>
            <w:szCs w:val="24"/>
            <w:u w:val="single"/>
            <w:rtl w:val="0"/>
          </w:rPr>
          <w:t xml:space="preserve">https://www.sustainablefinance.ch/upload/cms/user/SSF_Guide_de_linvestissement_durable_2017_03_03_einseitig_Web.pdf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CSRD : Décryptage complet et guide pour les entreprises - R3, </w:t>
      </w:r>
      <w:hyperlink r:id="rId39">
        <w:r w:rsidDel="00000000" w:rsidR="00000000" w:rsidRPr="00000000">
          <w:rPr>
            <w:rFonts w:ascii="Google Sans" w:cs="Google Sans" w:eastAsia="Google Sans" w:hAnsi="Google Sans"/>
            <w:color w:val="0000ee"/>
            <w:sz w:val="24"/>
            <w:szCs w:val="24"/>
            <w:u w:val="single"/>
            <w:rtl w:val="0"/>
          </w:rPr>
          <w:t xml:space="preserve">https://www.r3.fr/ressources/csrd-decryptage</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CSRD : définition et obligations de reporting pour les entreprises en, </w:t>
      </w:r>
      <w:hyperlink r:id="rId40">
        <w:r w:rsidDel="00000000" w:rsidR="00000000" w:rsidRPr="00000000">
          <w:rPr>
            <w:rFonts w:ascii="Google Sans" w:cs="Google Sans" w:eastAsia="Google Sans" w:hAnsi="Google Sans"/>
            <w:color w:val="0000ee"/>
            <w:sz w:val="24"/>
            <w:szCs w:val="24"/>
            <w:u w:val="single"/>
            <w:rtl w:val="0"/>
          </w:rPr>
          <w:t xml:space="preserve">https://www.hellocarbo.com/blog/calculer/csrd-definition/</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CSRD : qu'est-ce que la double matérialité ? - Sweep, </w:t>
      </w:r>
      <w:hyperlink r:id="rId41">
        <w:r w:rsidDel="00000000" w:rsidR="00000000" w:rsidRPr="00000000">
          <w:rPr>
            <w:rFonts w:ascii="Google Sans" w:cs="Google Sans" w:eastAsia="Google Sans" w:hAnsi="Google Sans"/>
            <w:color w:val="0000ee"/>
            <w:sz w:val="24"/>
            <w:szCs w:val="24"/>
            <w:u w:val="single"/>
            <w:rtl w:val="0"/>
          </w:rPr>
          <w:t xml:space="preserve">https://www.sweep.net/fr/blog/quest-ce-que-la-double-materialite</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DÉFINITION DE LA FINANCE À IMPACT, </w:t>
      </w:r>
      <w:hyperlink r:id="rId42">
        <w:r w:rsidDel="00000000" w:rsidR="00000000" w:rsidRPr="00000000">
          <w:rPr>
            <w:rFonts w:ascii="Google Sans" w:cs="Google Sans" w:eastAsia="Google Sans" w:hAnsi="Google Sans"/>
            <w:color w:val="0000ee"/>
            <w:sz w:val="24"/>
            <w:szCs w:val="24"/>
            <w:u w:val="single"/>
            <w:rtl w:val="0"/>
          </w:rPr>
          <w:t xml:space="preserve">https://institutdelafinancedurable.com/wp-content/uploads/2023/09/Finance-for-Tomorrow-Definition-de-la-finance-a-impact-Septembre-2021-5.pdf</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standards de la Global Reporting Initiative (GRI) sont-ils, </w:t>
      </w:r>
      <w:hyperlink r:id="rId43">
        <w:r w:rsidDel="00000000" w:rsidR="00000000" w:rsidRPr="00000000">
          <w:rPr>
            <w:rFonts w:ascii="Google Sans" w:cs="Google Sans" w:eastAsia="Google Sans" w:hAnsi="Google Sans"/>
            <w:color w:val="0000ee"/>
            <w:sz w:val="24"/>
            <w:szCs w:val="24"/>
            <w:u w:val="single"/>
            <w:rtl w:val="0"/>
          </w:rPr>
          <w:t xml:space="preserve">https://thesis.dial.uclouvain.be/bitstreams/184293a2-efe9-4366-b67e-2f3e18938ecf/download</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PAI SFDR : indicateurs, enjeux et reporting - Greenscope, </w:t>
      </w:r>
      <w:hyperlink r:id="rId44">
        <w:r w:rsidDel="00000000" w:rsidR="00000000" w:rsidRPr="00000000">
          <w:rPr>
            <w:rFonts w:ascii="Google Sans" w:cs="Google Sans" w:eastAsia="Google Sans" w:hAnsi="Google Sans"/>
            <w:color w:val="0000ee"/>
            <w:sz w:val="24"/>
            <w:szCs w:val="24"/>
            <w:u w:val="single"/>
            <w:rtl w:val="0"/>
          </w:rPr>
          <w:t xml:space="preserve">https://www.greenscope.io/sfdr/pai</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 un nouveau tournant pour les marchés financiers européens, </w:t>
      </w:r>
      <w:hyperlink r:id="rId45">
        <w:r w:rsidDel="00000000" w:rsidR="00000000" w:rsidRPr="00000000">
          <w:rPr>
            <w:rFonts w:ascii="Google Sans" w:cs="Google Sans" w:eastAsia="Google Sans" w:hAnsi="Google Sans"/>
            <w:color w:val="0000ee"/>
            <w:sz w:val="24"/>
            <w:szCs w:val="24"/>
            <w:u w:val="single"/>
            <w:rtl w:val="0"/>
          </w:rPr>
          <w:t xml:space="preserve">https://www.hellocarbo.com/blog/reduire/sfdr-un-nouveau-tournant-pour-les-marches-financiers-europeens/</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Règlement SFDR : 6 min pour comprendre vos obligations - Sami, </w:t>
      </w:r>
      <w:hyperlink r:id="rId46">
        <w:r w:rsidDel="00000000" w:rsidR="00000000" w:rsidRPr="00000000">
          <w:rPr>
            <w:rFonts w:ascii="Google Sans" w:cs="Google Sans" w:eastAsia="Google Sans" w:hAnsi="Google Sans"/>
            <w:color w:val="0000ee"/>
            <w:sz w:val="24"/>
            <w:szCs w:val="24"/>
            <w:u w:val="single"/>
            <w:rtl w:val="0"/>
          </w:rPr>
          <w:t xml:space="preserve">https://www.sami.eco/blog/reglement-sfdr</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finance durable, est-ce du greenwashing - ADEME, </w:t>
      </w:r>
      <w:hyperlink r:id="rId47">
        <w:r w:rsidDel="00000000" w:rsidR="00000000" w:rsidRPr="00000000">
          <w:rPr>
            <w:rFonts w:ascii="Google Sans" w:cs="Google Sans" w:eastAsia="Google Sans" w:hAnsi="Google Sans"/>
            <w:color w:val="0000ee"/>
            <w:sz w:val="24"/>
            <w:szCs w:val="24"/>
            <w:u w:val="single"/>
            <w:rtl w:val="0"/>
          </w:rPr>
          <w:t xml:space="preserve">https://agirpourlatransition.ademe.fr/particuliers/mieux-consommer/finance-durable/finance-durable-ou-greenwashing</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2.0: let's answer your questions - Carbone 4, </w:t>
      </w:r>
      <w:hyperlink r:id="rId48">
        <w:r w:rsidDel="00000000" w:rsidR="00000000" w:rsidRPr="00000000">
          <w:rPr>
            <w:rFonts w:ascii="Google Sans" w:cs="Google Sans" w:eastAsia="Google Sans" w:hAnsi="Google Sans"/>
            <w:color w:val="0000ee"/>
            <w:sz w:val="24"/>
            <w:szCs w:val="24"/>
            <w:u w:val="single"/>
            <w:rtl w:val="0"/>
          </w:rPr>
          <w:t xml:space="preserve">https://carbone4.com/article-sustainable-finance-disclosure-regulation</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2.0: Making labels work for the consumer | IEEFA, </w:t>
      </w:r>
      <w:hyperlink r:id="rId49">
        <w:r w:rsidDel="00000000" w:rsidR="00000000" w:rsidRPr="00000000">
          <w:rPr>
            <w:rFonts w:ascii="Google Sans" w:cs="Google Sans" w:eastAsia="Google Sans" w:hAnsi="Google Sans"/>
            <w:color w:val="0000ee"/>
            <w:sz w:val="24"/>
            <w:szCs w:val="24"/>
            <w:u w:val="single"/>
            <w:rtl w:val="0"/>
          </w:rPr>
          <w:t xml:space="preserve">https://ieefa.org/resources/sfdr-20-making-labels-work-consumer</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2.0: From Article 8/9 to New Sustainable Categories, </w:t>
      </w:r>
      <w:hyperlink r:id="rId50">
        <w:r w:rsidDel="00000000" w:rsidR="00000000" w:rsidRPr="00000000">
          <w:rPr>
            <w:rFonts w:ascii="Google Sans" w:cs="Google Sans" w:eastAsia="Google Sans" w:hAnsi="Google Sans"/>
            <w:color w:val="0000ee"/>
            <w:sz w:val="24"/>
            <w:szCs w:val="24"/>
            <w:u w:val="single"/>
            <w:rtl w:val="0"/>
          </w:rPr>
          <w:t xml:space="preserve">https://sp-consulting.co.uk/sfdr-2-0-from-article-8-9-to-sustainable-transition-and-esg-basics/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2.0 - KPMG International, </w:t>
      </w:r>
      <w:hyperlink r:id="rId51">
        <w:r w:rsidDel="00000000" w:rsidR="00000000" w:rsidRPr="00000000">
          <w:rPr>
            <w:rFonts w:ascii="Google Sans" w:cs="Google Sans" w:eastAsia="Google Sans" w:hAnsi="Google Sans"/>
            <w:color w:val="0000ee"/>
            <w:sz w:val="24"/>
            <w:szCs w:val="24"/>
            <w:u w:val="single"/>
            <w:rtl w:val="0"/>
          </w:rPr>
          <w:t xml:space="preserve">https://kpmg.com/xx/en/our-insights/regulatory-insights/sfdf-2.html</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SFDR Guide: Definition, Actors, Tools, and Latest News - Greenscope, </w:t>
      </w:r>
      <w:hyperlink r:id="rId52">
        <w:r w:rsidDel="00000000" w:rsidR="00000000" w:rsidRPr="00000000">
          <w:rPr>
            <w:rFonts w:ascii="Google Sans" w:cs="Google Sans" w:eastAsia="Google Sans" w:hAnsi="Google Sans"/>
            <w:color w:val="0000ee"/>
            <w:sz w:val="24"/>
            <w:szCs w:val="24"/>
            <w:u w:val="single"/>
            <w:rtl w:val="0"/>
          </w:rPr>
          <w:t xml:space="preserve">https://www.greenscope.io/en/sfdr</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L'économie sociale et solidaire face à la crise : simple résistance ou, </w:t>
      </w:r>
      <w:hyperlink r:id="rId53">
        <w:r w:rsidDel="00000000" w:rsidR="00000000" w:rsidRPr="00000000">
          <w:rPr>
            <w:rFonts w:ascii="Google Sans" w:cs="Google Sans" w:eastAsia="Google Sans" w:hAnsi="Google Sans"/>
            <w:color w:val="0000ee"/>
            <w:sz w:val="24"/>
            <w:szCs w:val="24"/>
            <w:u w:val="single"/>
            <w:rtl w:val="0"/>
          </w:rPr>
          <w:t xml:space="preserve">https://www.erudit.org/fr/revues/recma/2012-n325-recma0740/1017419ar/</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Vous cherchez une banque vraiment durable ?, </w:t>
      </w:r>
      <w:hyperlink r:id="rId54">
        <w:r w:rsidDel="00000000" w:rsidR="00000000" w:rsidRPr="00000000">
          <w:rPr>
            <w:rFonts w:ascii="Google Sans" w:cs="Google Sans" w:eastAsia="Google Sans" w:hAnsi="Google Sans"/>
            <w:color w:val="0000ee"/>
            <w:sz w:val="24"/>
            <w:szCs w:val="24"/>
            <w:u w:val="single"/>
            <w:rtl w:val="0"/>
          </w:rPr>
          <w:t xml:space="preserve">https://www.triodos.be/fr/banque-durable</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 fossé entre les banques durables et les grandes ... - Financité, </w:t>
      </w:r>
      <w:hyperlink r:id="rId55">
        <w:r w:rsidDel="00000000" w:rsidR="00000000" w:rsidRPr="00000000">
          <w:rPr>
            <w:rFonts w:ascii="Google Sans" w:cs="Google Sans" w:eastAsia="Google Sans" w:hAnsi="Google Sans"/>
            <w:color w:val="0000ee"/>
            <w:sz w:val="24"/>
            <w:szCs w:val="24"/>
            <w:u w:val="single"/>
            <w:rtl w:val="0"/>
          </w:rPr>
          <w:t xml:space="preserve">https://www.financite.be/actualit%C3%A9/scan-des-banques-le-fosse-entre-les-banques-durables-et-les-grandes-banques-continue-de</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 des banques - Financité, </w:t>
      </w:r>
      <w:hyperlink r:id="rId56">
        <w:r w:rsidDel="00000000" w:rsidR="00000000" w:rsidRPr="00000000">
          <w:rPr>
            <w:rFonts w:ascii="Google Sans" w:cs="Google Sans" w:eastAsia="Google Sans" w:hAnsi="Google Sans"/>
            <w:color w:val="0000ee"/>
            <w:sz w:val="24"/>
            <w:szCs w:val="24"/>
            <w:u w:val="single"/>
            <w:rtl w:val="0"/>
          </w:rPr>
          <w:t xml:space="preserve">https://financite.be/scan-des-banques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Scan des banques FairFin et Financité - vdk bank, </w:t>
      </w:r>
      <w:hyperlink r:id="rId57">
        <w:r w:rsidDel="00000000" w:rsidR="00000000" w:rsidRPr="00000000">
          <w:rPr>
            <w:rFonts w:ascii="Google Sans" w:cs="Google Sans" w:eastAsia="Google Sans" w:hAnsi="Google Sans"/>
            <w:color w:val="0000ee"/>
            <w:sz w:val="24"/>
            <w:szCs w:val="24"/>
            <w:u w:val="single"/>
            <w:rtl w:val="0"/>
          </w:rPr>
          <w:t xml:space="preserve">https://www.vdk.be/fr/scan-des-banques-fairfin-et-financite-vdk-banque-renforce-sa-position-de-banque-durable</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enjeux de la Finance Durable et ses implications en assurance, </w:t>
      </w:r>
      <w:hyperlink r:id="rId58">
        <w:r w:rsidDel="00000000" w:rsidR="00000000" w:rsidRPr="00000000">
          <w:rPr>
            <w:rFonts w:ascii="Google Sans" w:cs="Google Sans" w:eastAsia="Google Sans" w:hAnsi="Google Sans"/>
            <w:color w:val="0000ee"/>
            <w:sz w:val="24"/>
            <w:szCs w:val="24"/>
            <w:u w:val="single"/>
            <w:rtl w:val="0"/>
          </w:rPr>
          <w:t xml:space="preserve">https://www.asquarepartners.com/fr/les-enjeux-de-la-finance-durable-et-ses-implications-en-assurance/</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Chiffres du secteur des OPC 3ème trimestre 2025 | BEAMA, </w:t>
      </w:r>
      <w:hyperlink r:id="rId59">
        <w:r w:rsidDel="00000000" w:rsidR="00000000" w:rsidRPr="00000000">
          <w:rPr>
            <w:rFonts w:ascii="Google Sans" w:cs="Google Sans" w:eastAsia="Google Sans" w:hAnsi="Google Sans"/>
            <w:color w:val="0000ee"/>
            <w:sz w:val="24"/>
            <w:szCs w:val="24"/>
            <w:u w:val="single"/>
            <w:rtl w:val="0"/>
          </w:rPr>
          <w:t xml:space="preserve">https://www.beama.be/wp-content/uploads/2026/03/Chiffres-du-secteur-des-OPC-3%C3%A8me-trimestre-2025.pdf</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 avenir pour l'Investissement Socialement Responsable (ISR, </w:t>
      </w:r>
      <w:hyperlink r:id="rId60">
        <w:r w:rsidDel="00000000" w:rsidR="00000000" w:rsidRPr="00000000">
          <w:rPr>
            <w:rFonts w:ascii="Google Sans" w:cs="Google Sans" w:eastAsia="Google Sans" w:hAnsi="Google Sans"/>
            <w:color w:val="0000ee"/>
            <w:sz w:val="24"/>
            <w:szCs w:val="24"/>
            <w:u w:val="single"/>
            <w:rtl w:val="0"/>
          </w:rPr>
          <w:t xml:space="preserve">https://cataloguebibliotheque.ichec.be/doc_num.php?explnum_id=274</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Quel rôle la finance éthique et alternative joue-t-elle dans ... - MatheO, </w:t>
      </w:r>
      <w:hyperlink r:id="rId61">
        <w:r w:rsidDel="00000000" w:rsidR="00000000" w:rsidRPr="00000000">
          <w:rPr>
            <w:rFonts w:ascii="Google Sans" w:cs="Google Sans" w:eastAsia="Google Sans" w:hAnsi="Google Sans"/>
            <w:color w:val="0000ee"/>
            <w:sz w:val="24"/>
            <w:szCs w:val="24"/>
            <w:u w:val="single"/>
            <w:rtl w:val="0"/>
          </w:rPr>
          <w:t xml:space="preserve">https://matheo.uliege.be/bitstream/2268.2/22442/4/MICELI%20Alexandre%20s123061.pdf</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Fédéchoses - Presse fédéraliste, </w:t>
      </w:r>
      <w:hyperlink r:id="rId62">
        <w:r w:rsidDel="00000000" w:rsidR="00000000" w:rsidRPr="00000000">
          <w:rPr>
            <w:rFonts w:ascii="Google Sans" w:cs="Google Sans" w:eastAsia="Google Sans" w:hAnsi="Google Sans"/>
            <w:color w:val="0000ee"/>
            <w:sz w:val="24"/>
            <w:szCs w:val="24"/>
            <w:u w:val="single"/>
            <w:rtl w:val="0"/>
          </w:rPr>
          <w:t xml:space="preserve">https://www.pressefederaliste.eu/IMG/pdf/fedechoses-126-2004-m.pdf</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Taxe Tobin (TTF) : la fausse proposition Scholz ne taxe pas les, </w:t>
      </w:r>
      <w:hyperlink r:id="rId63">
        <w:r w:rsidDel="00000000" w:rsidR="00000000" w:rsidRPr="00000000">
          <w:rPr>
            <w:rFonts w:ascii="Google Sans" w:cs="Google Sans" w:eastAsia="Google Sans" w:hAnsi="Google Sans"/>
            <w:color w:val="0000ee"/>
            <w:sz w:val="24"/>
            <w:szCs w:val="24"/>
            <w:u w:val="single"/>
            <w:rtl w:val="0"/>
          </w:rPr>
          <w:t xml:space="preserve">https://kairoswb.com/actualite/campagnes/taxe-tobin-la-belgique-ne-veut-pas-dune-taxation-sur-les-derives-eminemment-speculatifs/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llocarbo.com/blog/calculer/csrd-definition/" TargetMode="External"/><Relationship Id="rId42" Type="http://schemas.openxmlformats.org/officeDocument/2006/relationships/hyperlink" Target="https://institutdelafinancedurable.com/wp-content/uploads/2023/09/Finance-for-Tomorrow-Definition-de-la-finance-a-impact-Septembre-2021-5.pdf" TargetMode="External"/><Relationship Id="rId41" Type="http://schemas.openxmlformats.org/officeDocument/2006/relationships/hyperlink" Target="https://www.sweep.net/fr/blog/quest-ce-que-la-double-materialite" TargetMode="External"/><Relationship Id="rId44" Type="http://schemas.openxmlformats.org/officeDocument/2006/relationships/hyperlink" Target="https://www.greenscope.io/sfdr/pai" TargetMode="External"/><Relationship Id="rId43" Type="http://schemas.openxmlformats.org/officeDocument/2006/relationships/hyperlink" Target="https://thesis.dial.uclouvain.be/bitstreams/184293a2-efe9-4366-b67e-2f3e18938ecf/download" TargetMode="External"/><Relationship Id="rId46" Type="http://schemas.openxmlformats.org/officeDocument/2006/relationships/hyperlink" Target="https://www.sami.eco/blog/reglement-sfdr" TargetMode="External"/><Relationship Id="rId45" Type="http://schemas.openxmlformats.org/officeDocument/2006/relationships/hyperlink" Target="https://www.hellocarbo.com/blog/reduire/sfdr-un-nouveau-tournant-pour-les-marches-financiers-europee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lideshare.net/slideshow/4-bse-the-social-responsibility-of-business-is-to-increase-profits/3042420" TargetMode="External"/><Relationship Id="rId48" Type="http://schemas.openxmlformats.org/officeDocument/2006/relationships/hyperlink" Target="https://carbone4.com/article-sustainable-finance-disclosure-regulation" TargetMode="External"/><Relationship Id="rId47" Type="http://schemas.openxmlformats.org/officeDocument/2006/relationships/hyperlink" Target="https://agirpourlatransition.ademe.fr/particuliers/mieux-consommer/finance-durable/finance-durable-ou-greenwashing" TargetMode="External"/><Relationship Id="rId49" Type="http://schemas.openxmlformats.org/officeDocument/2006/relationships/hyperlink" Target="https://ieefa.org/resources/sfdr-20-making-labels-work-consumer" TargetMode="External"/><Relationship Id="rId5" Type="http://schemas.openxmlformats.org/officeDocument/2006/relationships/styles" Target="styles.xml"/><Relationship Id="rId6" Type="http://schemas.openxmlformats.org/officeDocument/2006/relationships/hyperlink" Target="http://www.editions-unicite.fr/category/essais.php" TargetMode="External"/><Relationship Id="rId7" Type="http://schemas.openxmlformats.org/officeDocument/2006/relationships/hyperlink" Target="https://www.ritimo.org/Recette_pour_le_desastre_FMI_Banque_Mondiale" TargetMode="External"/><Relationship Id="rId8" Type="http://schemas.openxmlformats.org/officeDocument/2006/relationships/hyperlink" Target="https://www.scribd.com/document/958421141/Milt-Friedman-App-Csr" TargetMode="External"/><Relationship Id="rId31" Type="http://schemas.openxmlformats.org/officeDocument/2006/relationships/hyperlink" Target="https://newsroom.groupebpce.fr/actualites/reaction-du-groupe-bpce-suite-a-la-publication-du-rapport-banking-on-climate-chaos-a4fbd-7b707.html" TargetMode="External"/><Relationship Id="rId30" Type="http://schemas.openxmlformats.org/officeDocument/2006/relationships/hyperlink" Target="https://www.fbf.fr/fr/reaction-de-la-fbf-au-rapport-banking-on-climate-chaos-publie-par-un-consortium-dong/" TargetMode="External"/><Relationship Id="rId33" Type="http://schemas.openxmlformats.org/officeDocument/2006/relationships/hyperlink" Target="https://shs.cairn.info/futur-de-la-monnaie--9782738153999-page-151?lang=fr" TargetMode="External"/><Relationship Id="rId32" Type="http://schemas.openxmlformats.org/officeDocument/2006/relationships/hyperlink" Target="https://bsi-economics.org/feux-de-foret-californiens-et-mise-en-exergue-dun-risque-de-crise-systemique-demeler-le-vrai-du-faux-note/" TargetMode="External"/><Relationship Id="rId35" Type="http://schemas.openxmlformats.org/officeDocument/2006/relationships/hyperlink" Target="https://www.bibliotheque.assnat.qc.ca/DepotNumerique_v2/AffichageFichier.aspx?idf=149642" TargetMode="External"/><Relationship Id="rId34" Type="http://schemas.openxmlformats.org/officeDocument/2006/relationships/hyperlink" Target="https://www.vie-publique.fr/files/rapports/fichiers_joints/289488-rapports%20th%C3%A9matiques%206-11.pdf" TargetMode="External"/><Relationship Id="rId37" Type="http://schemas.openxmlformats.org/officeDocument/2006/relationships/hyperlink" Target="https://reclaimfinance.org/site/wp-content/uploads/2021/02/TotalFaitDuSale_LaFinanceComplice-1.pdf" TargetMode="External"/><Relationship Id="rId36" Type="http://schemas.openxmlformats.org/officeDocument/2006/relationships/hyperlink" Target="https://carbone4.com/files/wp-content/uploads/2015/06/Rapport-CANFIN-GRANDJEAN-FINAL-18062015.pdf" TargetMode="External"/><Relationship Id="rId39" Type="http://schemas.openxmlformats.org/officeDocument/2006/relationships/hyperlink" Target="https://www.r3.fr/ressources/csrd-decryptage" TargetMode="External"/><Relationship Id="rId38" Type="http://schemas.openxmlformats.org/officeDocument/2006/relationships/hyperlink" Target="https://www.sustainablefinance.ch/upload/cms/user/SSF_Guide_de_linvestissement_durable_2017_03_03_einseitig_Web.pdf" TargetMode="External"/><Relationship Id="rId62" Type="http://schemas.openxmlformats.org/officeDocument/2006/relationships/hyperlink" Target="https://www.pressefederaliste.eu/IMG/pdf/fedechoses-126-2004-m.pdf" TargetMode="External"/><Relationship Id="rId61" Type="http://schemas.openxmlformats.org/officeDocument/2006/relationships/hyperlink" Target="https://matheo.uliege.be/bitstream/2268.2/22442/4/MICELI%20Alexandre%20s123061.pdf" TargetMode="External"/><Relationship Id="rId20" Type="http://schemas.openxmlformats.org/officeDocument/2006/relationships/hyperlink" Target="https://www.banque-france.fr/fr/publications-et-statistiques/publications/la-crise-de-2008" TargetMode="External"/><Relationship Id="rId63" Type="http://schemas.openxmlformats.org/officeDocument/2006/relationships/hyperlink" Target="https://kairoswb.com/actualite/campagnes/taxe-tobin-la-belgique-ne-veut-pas-dune-taxation-sur-les-derives-eminemment-speculatifs/" TargetMode="External"/><Relationship Id="rId22" Type="http://schemas.openxmlformats.org/officeDocument/2006/relationships/hyperlink" Target="https://www.sator.fr/cours/leconomie-de-demain" TargetMode="External"/><Relationship Id="rId21" Type="http://schemas.openxmlformats.org/officeDocument/2006/relationships/hyperlink" Target="https://laviedesidees.fr/La-transition-ecologique-avenir-de-l-Europe" TargetMode="External"/><Relationship Id="rId24" Type="http://schemas.openxmlformats.org/officeDocument/2006/relationships/hyperlink" Target="https://reclaimfinance.org/site/2025/06/17/edition-2025-du-rapport-banking-on-climate-chaos/" TargetMode="External"/><Relationship Id="rId23" Type="http://schemas.openxmlformats.org/officeDocument/2006/relationships/hyperlink" Target="https://archipel.uqam.ca/4580/1/M12387.pdf" TargetMode="External"/><Relationship Id="rId60" Type="http://schemas.openxmlformats.org/officeDocument/2006/relationships/hyperlink" Target="https://cataloguebibliotheque.ichec.be/doc_num.php?explnum_id=274" TargetMode="External"/><Relationship Id="rId26" Type="http://schemas.openxmlformats.org/officeDocument/2006/relationships/hyperlink" Target="https://www.boursorama.com/videos/actualites/les-banques-financent-toujours-trop-les-hydrocarbures-ong-23ac1ae0c0dd5e2d3dc2c535f74888a7" TargetMode="External"/><Relationship Id="rId25" Type="http://schemas.openxmlformats.org/officeDocument/2006/relationships/hyperlink" Target="https://profundo.nl/projects/bocc-2025/" TargetMode="External"/><Relationship Id="rId28" Type="http://schemas.openxmlformats.org/officeDocument/2006/relationships/hyperlink" Target="https://reclaimfinance.org/site/2026/06/09/edition-2026-du-rapport-banking-on-climate-chaos/" TargetMode="External"/><Relationship Id="rId27" Type="http://schemas.openxmlformats.org/officeDocument/2006/relationships/hyperlink" Target="https://www.amisdelaterre.org/ag-bnp-engagements-climat-se-font-toujours-attendre/" TargetMode="External"/><Relationship Id="rId29" Type="http://schemas.openxmlformats.org/officeDocument/2006/relationships/hyperlink" Target="https://www.amisdelaterre.org/wp-content/uploads/2014/10/argentsalebanquesfr.pdf" TargetMode="External"/><Relationship Id="rId51" Type="http://schemas.openxmlformats.org/officeDocument/2006/relationships/hyperlink" Target="https://kpmg.com/xx/en/our-insights/regulatory-insights/sfdf-2.html" TargetMode="External"/><Relationship Id="rId50" Type="http://schemas.openxmlformats.org/officeDocument/2006/relationships/hyperlink" Target="https://sp-consulting.co.uk/sfdr-2-0-from-article-8-9-to-sustainable-transition-and-esg-basics/" TargetMode="External"/><Relationship Id="rId53" Type="http://schemas.openxmlformats.org/officeDocument/2006/relationships/hyperlink" Target="https://www.erudit.org/fr/revues/recma/2012-n325-recma0740/1017419ar/" TargetMode="External"/><Relationship Id="rId52" Type="http://schemas.openxmlformats.org/officeDocument/2006/relationships/hyperlink" Target="https://www.greenscope.io/en/sfdr" TargetMode="External"/><Relationship Id="rId11" Type="http://schemas.openxmlformats.org/officeDocument/2006/relationships/hyperlink" Target="https://en.wikipedia.org/wiki/Friedman_doctrine" TargetMode="External"/><Relationship Id="rId55" Type="http://schemas.openxmlformats.org/officeDocument/2006/relationships/hyperlink" Target="https://www.financite.be/actualit%C3%A9/scan-des-banques-le-fosse-entre-les-banques-durables-et-les-grandes-banques-continue-de" TargetMode="External"/><Relationship Id="rId10" Type="http://schemas.openxmlformats.org/officeDocument/2006/relationships/hyperlink" Target="https://www.simtrade.fr/blog_simtrade/deep-dive-on-the-article-the-social-responsibility-of-business-is-to-increase-its-profits-by-milton-friedman/" TargetMode="External"/><Relationship Id="rId54" Type="http://schemas.openxmlformats.org/officeDocument/2006/relationships/hyperlink" Target="https://www.triodos.be/fr/banque-durable" TargetMode="External"/><Relationship Id="rId13" Type="http://schemas.openxmlformats.org/officeDocument/2006/relationships/hyperlink" Target="https://blogs.law.ox.ac.uk/business-law-blog/blog/2020/11/what-stakeholder-capitalism-can-learn-milton-friedman" TargetMode="External"/><Relationship Id="rId57" Type="http://schemas.openxmlformats.org/officeDocument/2006/relationships/hyperlink" Target="https://www.vdk.be/fr/scan-des-banques-fairfin-et-financite-vdk-banque-renforce-sa-position-de-banque-durable" TargetMode="External"/><Relationship Id="rId12" Type="http://schemas.openxmlformats.org/officeDocument/2006/relationships/hyperlink" Target="https://www.chicagobooth.edu/review/its-time-rethink-milton-friedmans-shareholder-value-argument" TargetMode="External"/><Relationship Id="rId56" Type="http://schemas.openxmlformats.org/officeDocument/2006/relationships/hyperlink" Target="https://financite.be/scan-des-banques" TargetMode="External"/><Relationship Id="rId15" Type="http://schemas.openxmlformats.org/officeDocument/2006/relationships/hyperlink" Target="https://chaire-double-materialite.org/La_Double_Materialite_dans_le_monde_RAPPORT_FEV2025.pdf" TargetMode="External"/><Relationship Id="rId59" Type="http://schemas.openxmlformats.org/officeDocument/2006/relationships/hyperlink" Target="https://www.beama.be/wp-content/uploads/2026/03/Chiffres-du-secteur-des-OPC-3%C3%A8me-trimestre-2025.pdf" TargetMode="External"/><Relationship Id="rId14" Type="http://schemas.openxmlformats.org/officeDocument/2006/relationships/hyperlink" Target="https://ideas.repec.org/p/una/unccee/wp1012.html" TargetMode="External"/><Relationship Id="rId58" Type="http://schemas.openxmlformats.org/officeDocument/2006/relationships/hyperlink" Target="https://www.asquarepartners.com/fr/les-enjeux-de-la-finance-durable-et-ses-implications-en-assurance/" TargetMode="External"/><Relationship Id="rId17" Type="http://schemas.openxmlformats.org/officeDocument/2006/relationships/hyperlink" Target="https://cae-eco.fr/static/pdf/078.pdf" TargetMode="External"/><Relationship Id="rId16" Type="http://schemas.openxmlformats.org/officeDocument/2006/relationships/hyperlink" Target="https://www.wecount.io/ressources-articles/directive-csrd-definition-et-plan-daction" TargetMode="External"/><Relationship Id="rId19" Type="http://schemas.openxmlformats.org/officeDocument/2006/relationships/hyperlink" Target="https://www.lafinancepourtous.com/decryptages/crises-economiques/crise-des-subprimes/crise-financiere/" TargetMode="External"/><Relationship Id="rId18" Type="http://schemas.openxmlformats.org/officeDocument/2006/relationships/hyperlink" Target="https://www.melchior.fr/note-de-lecture/l-illusion-financier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