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oy1p2rniptv" w:id="0"/>
      <w:bookmarkEnd w:id="0"/>
      <w:r w:rsidDel="00000000" w:rsidR="00000000" w:rsidRPr="00000000">
        <w:rPr>
          <w:rtl w:val="0"/>
        </w:rPr>
        <w:t xml:space="preserve">Analyse d'Impact des Réformes Fédérales "Arizona" sur les Pouvoirs Locaux et les CPAS</w:t>
      </w:r>
    </w:p>
    <w:p w:rsidR="00000000" w:rsidDel="00000000" w:rsidP="00000000" w:rsidRDefault="00000000" w:rsidRPr="00000000" w14:paraId="00000002">
      <w:pPr>
        <w:pStyle w:val="Heading4"/>
        <w:rPr/>
      </w:pPr>
      <w:bookmarkStart w:colFirst="0" w:colLast="0" w:name="_9p2h9fyd3pk" w:id="1"/>
      <w:bookmarkEnd w:id="1"/>
      <w:r w:rsidDel="00000000" w:rsidR="00000000" w:rsidRPr="00000000">
        <w:rPr>
          <w:rtl w:val="0"/>
        </w:rPr>
        <w:t xml:space="preserve">1. Introduction : Un Changement de Paradigme pour l'Action Sociale Locale</w:t>
      </w:r>
    </w:p>
    <w:p w:rsidR="00000000" w:rsidDel="00000000" w:rsidP="00000000" w:rsidRDefault="00000000" w:rsidRPr="00000000" w14:paraId="00000003">
      <w:pPr>
        <w:rPr/>
      </w:pPr>
      <w:r w:rsidDel="00000000" w:rsidR="00000000" w:rsidRPr="00000000">
        <w:rPr>
          <w:rtl w:val="0"/>
        </w:rPr>
        <w:t xml:space="preserve">L'avènement de la coalition fédérale "Arizona" marque un tournant décisif pour le modèle social belge. Nous assistons à un changement fondamental, opérant un glissement progressif d'un modèle de sécurité sociale historiquement assuranciel et piloté par l'État fédéral vers une logique d'assistance conditionnelle, dont la gestion est de plus en plus déléguée au niveau local. Ce rapport a pour objectif d'analyser de manière objective et chiffrée les conséquences directes de ces réformes pour les décideurs politiques locaux et les gestionnaires de CPAS. En s'appuyant sur les données disponibles et les études d'impact, il vise à fournir une grille de lecture claire des enjeux à venir. Le document examinera successivement le transfert de charges financières induit par la réforme du chômage, l'adéquation des mécanismes de compensation prévus par le niveau fédéral, et enfin, les défis opérationnels et humains imminents auxquels les services sociaux locaux devront faire face. La compréhension de ces dynamiques est essentielle pour anticiper, planifier et, potentiellement, infléchir les effets d'une réforme dont l'onde de choc se propagera bien au-delà des budgets fédéraux, en commençant par sa mesure la plus structurante.</w:t>
      </w:r>
    </w:p>
    <w:p w:rsidR="00000000" w:rsidDel="00000000" w:rsidP="00000000" w:rsidRDefault="00000000" w:rsidRPr="00000000" w14:paraId="00000004">
      <w:pPr>
        <w:pStyle w:val="Heading4"/>
        <w:rPr/>
      </w:pPr>
      <w:bookmarkStart w:colFirst="0" w:colLast="0" w:name="_bhwnw94dwiv9" w:id="2"/>
      <w:bookmarkEnd w:id="2"/>
      <w:r w:rsidDel="00000000" w:rsidR="00000000" w:rsidRPr="00000000">
        <w:rPr>
          <w:rtl w:val="0"/>
        </w:rPr>
        <w:t xml:space="preserve">2. La Réforme Phare : La Limitation des Allocations de Chômage</w:t>
      </w:r>
    </w:p>
    <w:p w:rsidR="00000000" w:rsidDel="00000000" w:rsidP="00000000" w:rsidRDefault="00000000" w:rsidRPr="00000000" w14:paraId="00000005">
      <w:pPr>
        <w:rPr/>
      </w:pPr>
      <w:r w:rsidDel="00000000" w:rsidR="00000000" w:rsidRPr="00000000">
        <w:rPr>
          <w:rtl w:val="0"/>
        </w:rPr>
        <w:t xml:space="preserve">Parmi l'ensemble des mesures adoptées par la coalition "Arizona", la limitation dans le temps des allocations de chômage est sans conteste la plus structurante. Mettant fin à une spécificité historique du système belge, cette réforme constitue le principal moteur du transfert de charges vers les pouvoirs locaux. Son impact est à la fois massif et programmé, ce qui rend l'analyse de son mécanisme et de son calendrier indispensable pour anticiper l'ampleur et le rythme de l'afflux de nouveaux bénéficiaires vers les CPAS.</w:t>
      </w:r>
    </w:p>
    <w:p w:rsidR="00000000" w:rsidDel="00000000" w:rsidP="00000000" w:rsidRDefault="00000000" w:rsidRPr="00000000" w14:paraId="00000006">
      <w:pPr>
        <w:pStyle w:val="Heading5"/>
        <w:rPr/>
      </w:pPr>
      <w:bookmarkStart w:colFirst="0" w:colLast="0" w:name="_bokbg88tf8br" w:id="3"/>
      <w:bookmarkEnd w:id="3"/>
      <w:r w:rsidDel="00000000" w:rsidR="00000000" w:rsidRPr="00000000">
        <w:rPr>
          <w:rtl w:val="0"/>
        </w:rPr>
        <w:t xml:space="preserve">2.1 Le Mécanisme de la Réforme et le Calendrier des Exclusions</w:t>
      </w:r>
    </w:p>
    <w:p w:rsidR="00000000" w:rsidDel="00000000" w:rsidP="00000000" w:rsidRDefault="00000000" w:rsidRPr="00000000" w14:paraId="00000007">
      <w:pPr>
        <w:rPr/>
      </w:pPr>
      <w:r w:rsidDel="00000000" w:rsidR="00000000" w:rsidRPr="00000000">
        <w:rPr>
          <w:rtl w:val="0"/>
        </w:rPr>
        <w:t xml:space="preserve">Le nouveau régime plafonne le droit aux allocations de chômage à une durée maximale de  </w:t>
      </w:r>
      <w:r w:rsidDel="00000000" w:rsidR="00000000" w:rsidRPr="00000000">
        <w:rPr>
          <w:b w:val="1"/>
          <w:bCs w:val="1"/>
          <w:rtl w:val="0"/>
        </w:rPr>
        <w:t xml:space="preserve">24 mois</w:t>
      </w:r>
      <w:r w:rsidDel="00000000" w:rsidR="00000000" w:rsidRPr="00000000">
        <w:rPr>
          <w:rtl w:val="0"/>
        </w:rPr>
        <w:t xml:space="preserve">  pour la majorité des demandeurs d'emploi. Cette limitation s'applique de manière progressive, via une série de "vagues" d'exclusion orchestrées par l'ONEM, ciblant successivement différents publics en fonction de leur ancienneté dans le chômage et de leur passé professionnel. Le chronogramme détaillé de cette mise en œuvre révèle une accélération brutale des exclusions dès le premier semestre 2026.| </w:t>
      </w:r>
      <w:r w:rsidDel="00000000" w:rsidR="00000000" w:rsidRPr="00000000">
        <w:rPr>
          <w:b w:val="1"/>
          <w:bCs w:val="1"/>
          <w:rtl w:val="0"/>
        </w:rPr>
        <w:t xml:space="preserve">Vague</w:t>
      </w:r>
      <w:r w:rsidDel="00000000" w:rsidR="00000000" w:rsidRPr="00000000">
        <w:rPr>
          <w:rtl w:val="0"/>
        </w:rPr>
        <w:t xml:space="preserve"> | </w:t>
      </w:r>
      <w:r w:rsidDel="00000000" w:rsidR="00000000" w:rsidRPr="00000000">
        <w:rPr>
          <w:b w:val="1"/>
          <w:bCs w:val="1"/>
          <w:rtl w:val="0"/>
        </w:rPr>
        <w:t xml:space="preserve">Date d'Échéance</w:t>
      </w:r>
      <w:r w:rsidDel="00000000" w:rsidR="00000000" w:rsidRPr="00000000">
        <w:rPr>
          <w:rtl w:val="0"/>
        </w:rPr>
        <w:t xml:space="preserve"> | </w:t>
      </w:r>
      <w:r w:rsidDel="00000000" w:rsidR="00000000" w:rsidRPr="00000000">
        <w:rPr>
          <w:b w:val="1"/>
          <w:bCs w:val="1"/>
          <w:rtl w:val="0"/>
        </w:rPr>
        <w:t xml:space="preserve">Public Cible</w:t>
      </w:r>
      <w:r w:rsidDel="00000000" w:rsidR="00000000" w:rsidRPr="00000000">
        <w:rPr>
          <w:rtl w:val="0"/>
        </w:rPr>
        <w:t xml:space="preserve"> || ------ | ------ | ------ || </w:t>
      </w:r>
      <w:r w:rsidDel="00000000" w:rsidR="00000000" w:rsidRPr="00000000">
        <w:rPr>
          <w:b w:val="1"/>
          <w:bCs w:val="1"/>
          <w:rtl w:val="0"/>
        </w:rPr>
        <w:t xml:space="preserve">Vague 1</w:t>
      </w:r>
      <w:r w:rsidDel="00000000" w:rsidR="00000000" w:rsidRPr="00000000">
        <w:rPr>
          <w:rtl w:val="0"/>
        </w:rPr>
        <w:t xml:space="preserve"> | 01 Janvier 2026 | Allocations d'insertion et Chômeurs de très longue durée (&gt; 20 ans de chômage) || </w:t>
      </w:r>
      <w:r w:rsidDel="00000000" w:rsidR="00000000" w:rsidRPr="00000000">
        <w:rPr>
          <w:b w:val="1"/>
          <w:bCs w:val="1"/>
          <w:rtl w:val="0"/>
        </w:rPr>
        <w:t xml:space="preserve">Vague 2</w:t>
      </w:r>
      <w:r w:rsidDel="00000000" w:rsidR="00000000" w:rsidRPr="00000000">
        <w:rPr>
          <w:rtl w:val="0"/>
        </w:rPr>
        <w:t xml:space="preserve"> | 01 Mars 2026 | Chômeurs en 3e période d'indemnisation avec 8 à 20 ans de chômage || </w:t>
      </w:r>
      <w:r w:rsidDel="00000000" w:rsidR="00000000" w:rsidRPr="00000000">
        <w:rPr>
          <w:b w:val="1"/>
          <w:bCs w:val="1"/>
          <w:rtl w:val="0"/>
        </w:rPr>
        <w:t xml:space="preserve">Vague 3</w:t>
      </w:r>
      <w:r w:rsidDel="00000000" w:rsidR="00000000" w:rsidRPr="00000000">
        <w:rPr>
          <w:rtl w:val="0"/>
        </w:rPr>
        <w:t xml:space="preserve"> | 01 Avril 2026 | Chômeurs en 3e période d'indemnisation avec moins de 8 ans de chômage || </w:t>
      </w:r>
      <w:r w:rsidDel="00000000" w:rsidR="00000000" w:rsidRPr="00000000">
        <w:rPr>
          <w:b w:val="1"/>
          <w:bCs w:val="1"/>
          <w:rtl w:val="0"/>
        </w:rPr>
        <w:t xml:space="preserve">Vague 4</w:t>
      </w:r>
      <w:r w:rsidDel="00000000" w:rsidR="00000000" w:rsidRPr="00000000">
        <w:rPr>
          <w:rtl w:val="0"/>
        </w:rPr>
        <w:t xml:space="preserve"> | 01 Juillet 2026 | Demandeurs d'emploi en 2e période d'indemnisation || </w:t>
      </w:r>
      <w:r w:rsidDel="00000000" w:rsidR="00000000" w:rsidRPr="00000000">
        <w:rPr>
          <w:b w:val="1"/>
          <w:bCs w:val="1"/>
          <w:rtl w:val="0"/>
        </w:rPr>
        <w:t xml:space="preserve">Vague 5</w:t>
      </w:r>
      <w:r w:rsidDel="00000000" w:rsidR="00000000" w:rsidRPr="00000000">
        <w:rPr>
          <w:rtl w:val="0"/>
        </w:rPr>
        <w:t xml:space="preserve"> | Juil. 2026 - Juil. 2027 | Demandeurs en 1ère période avec moins de 5 ans de passé professionnel || </w:t>
      </w:r>
      <w:r w:rsidDel="00000000" w:rsidR="00000000" w:rsidRPr="00000000">
        <w:rPr>
          <w:b w:val="1"/>
          <w:bCs w:val="1"/>
          <w:rtl w:val="0"/>
        </w:rPr>
        <w:t xml:space="preserve">Vague 6</w:t>
      </w:r>
      <w:r w:rsidDel="00000000" w:rsidR="00000000" w:rsidRPr="00000000">
        <w:rPr>
          <w:rtl w:val="0"/>
        </w:rPr>
        <w:t xml:space="preserve"> | 01 Juillet 2027 | Demandeurs en 1ère période avec plus de 5 ans de passé professionnel |</w:t>
      </w:r>
    </w:p>
    <w:p w:rsidR="00000000" w:rsidDel="00000000" w:rsidP="00000000" w:rsidRDefault="00000000" w:rsidRPr="00000000" w14:paraId="00000008">
      <w:pPr>
        <w:pStyle w:val="Heading5"/>
        <w:rPr/>
      </w:pPr>
      <w:bookmarkStart w:colFirst="0" w:colLast="0" w:name="_xc8yfksi0rss" w:id="4"/>
      <w:bookmarkEnd w:id="4"/>
      <w:r w:rsidDel="00000000" w:rsidR="00000000" w:rsidRPr="00000000">
        <w:rPr>
          <w:rtl w:val="0"/>
        </w:rPr>
        <w:t xml:space="preserve">2.2 Analyse des Publics Prioritairement Impactés</w:t>
      </w:r>
    </w:p>
    <w:p w:rsidR="00000000" w:rsidDel="00000000" w:rsidP="00000000" w:rsidRDefault="00000000" w:rsidRPr="00000000" w14:paraId="00000009">
      <w:pPr>
        <w:rPr/>
      </w:pPr>
      <w:r w:rsidDel="00000000" w:rsidR="00000000" w:rsidRPr="00000000">
        <w:rPr>
          <w:rtl w:val="0"/>
        </w:rPr>
        <w:t xml:space="preserve">Le profil des premières vagues d'exclus (Vagues 1 à 3) est particulièrement révélateur de la portée sociale de la réforme. En ciblant prioritairement les bénéficiaires d'allocations d'insertion, les chômeurs de très longue durée, les travailleurs âgés et, indirectement, de nombreux parents isolés, la mesure touche les publics les plus éloignés du marché du travail.La rhétorique gouvernementale de l'activation par l'incitation financière se heurte ici à la réalité de ces profils. Ils cumulent souvent des freins périphériques à l'emploi qui ne peuvent être levés par la simple suppression d'une allocation : problèmes de santé, compétences obsolètes, difficultés de mobilité ou âge avancé. Pour ces personnes, la fin des droits au chômage ne signe pas un retour automatique à l'emploi, mais un basculement quasi inévitable vers le CPAS, seule alternative pour éviter la grande pauvreté. Ce mécanisme d'exclusion programmé est ainsi la source directe du séisme financier et organisationnel qui s'annonce pour les CPAS, dont l'ampleur est quantifiée ci-après.</w:t>
      </w:r>
    </w:p>
    <w:p w:rsidR="00000000" w:rsidDel="00000000" w:rsidP="00000000" w:rsidRDefault="00000000" w:rsidRPr="00000000" w14:paraId="0000000A">
      <w:pPr>
        <w:pStyle w:val="Heading4"/>
        <w:rPr/>
      </w:pPr>
      <w:bookmarkStart w:colFirst="0" w:colLast="0" w:name="_gjjfmnnvj1c" w:id="5"/>
      <w:bookmarkEnd w:id="5"/>
      <w:r w:rsidDel="00000000" w:rsidR="00000000" w:rsidRPr="00000000">
        <w:rPr>
          <w:rtl w:val="0"/>
        </w:rPr>
        <w:t xml:space="preserve">3. Le "Grand Glissement" : Quantification de l'Impact Financier sur les Communes</w:t>
      </w:r>
    </w:p>
    <w:p w:rsidR="00000000" w:rsidDel="00000000" w:rsidP="00000000" w:rsidRDefault="00000000" w:rsidRPr="00000000" w14:paraId="0000000B">
      <w:pPr>
        <w:rPr/>
      </w:pPr>
      <w:r w:rsidDel="00000000" w:rsidR="00000000" w:rsidRPr="00000000">
        <w:rPr>
          <w:rtl w:val="0"/>
        </w:rPr>
        <w:t xml:space="preserve">La conséquence mécanique de la limitation des allocations de chômage est un transfert massif de charges du budget de la sécurité sociale fédérale vers les finances locales. Ce phénomène, qualifié de "grand glissement", transforme une dépense assurancielle financée par les cotisations sociales en une dépense d'assistance financée par l'impôt local. Cette section a pour but de quantifier précisément cet impact afin de permettre aux décideurs d'anticiper les ajustements budgétaires qui s'imposeront dès 2026.</w:t>
      </w:r>
    </w:p>
    <w:p w:rsidR="00000000" w:rsidDel="00000000" w:rsidP="00000000" w:rsidRDefault="00000000" w:rsidRPr="00000000" w14:paraId="0000000C">
      <w:pPr>
        <w:pStyle w:val="Heading5"/>
        <w:rPr/>
      </w:pPr>
      <w:bookmarkStart w:colFirst="0" w:colLast="0" w:name="_hywwv1cv567l" w:id="6"/>
      <w:bookmarkEnd w:id="6"/>
      <w:r w:rsidDel="00000000" w:rsidR="00000000" w:rsidRPr="00000000">
        <w:rPr>
          <w:rtl w:val="0"/>
        </w:rPr>
        <w:t xml:space="preserve">3.1 Chiffrage de l'Afflux de Nouveaux Bénéficiaires du RIS</w:t>
      </w:r>
    </w:p>
    <w:p w:rsidR="00000000" w:rsidDel="00000000" w:rsidP="00000000" w:rsidRDefault="00000000" w:rsidRPr="00000000" w14:paraId="0000000D">
      <w:pPr>
        <w:rPr/>
      </w:pPr>
      <w:r w:rsidDel="00000000" w:rsidR="00000000" w:rsidRPr="00000000">
        <w:rPr>
          <w:rtl w:val="0"/>
        </w:rPr>
        <w:t xml:space="preserve">Les projections réalisées par des organismes de référence comme le DULBEA et Vivalis confirment l'ampleur du choc. Il est estimé qu'environ  </w:t>
      </w:r>
      <w:r w:rsidDel="00000000" w:rsidR="00000000" w:rsidRPr="00000000">
        <w:rPr>
          <w:b w:val="1"/>
          <w:bCs w:val="1"/>
          <w:rtl w:val="0"/>
        </w:rPr>
        <w:t xml:space="preserve">30 122 individus</w:t>
      </w:r>
      <w:r w:rsidDel="00000000" w:rsidR="00000000" w:rsidRPr="00000000">
        <w:rPr>
          <w:rtl w:val="0"/>
        </w:rPr>
        <w:t xml:space="preserve">  basculeront de l'assurance chômage vers le Revenu d'Intégration Sociale (RIS) dès l'épuisement de leurs droits. Ce chiffre représente une augmentation de  </w:t>
      </w:r>
      <w:r w:rsidDel="00000000" w:rsidR="00000000" w:rsidRPr="00000000">
        <w:rPr>
          <w:b w:val="1"/>
          <w:bCs w:val="1"/>
          <w:rtl w:val="0"/>
        </w:rPr>
        <w:t xml:space="preserve">12,7 %</w:t>
      </w:r>
      <w:r w:rsidDel="00000000" w:rsidR="00000000" w:rsidRPr="00000000">
        <w:rPr>
          <w:rtl w:val="0"/>
        </w:rPr>
        <w:t xml:space="preserve">  du nombre total de bénéficiaires du RIS à l'échelle nationale. L'impact n'est cependant pas uniforme sur le territoire, comme l'illustre le tableau suivant :| </w:t>
      </w:r>
      <w:r w:rsidDel="00000000" w:rsidR="00000000" w:rsidRPr="00000000">
        <w:rPr>
          <w:b w:val="1"/>
          <w:bCs w:val="1"/>
          <w:rtl w:val="0"/>
        </w:rPr>
        <w:t xml:space="preserve">Région</w:t>
      </w:r>
      <w:r w:rsidDel="00000000" w:rsidR="00000000" w:rsidRPr="00000000">
        <w:rPr>
          <w:rtl w:val="0"/>
        </w:rPr>
        <w:t xml:space="preserve"> | </w:t>
      </w:r>
      <w:r w:rsidDel="00000000" w:rsidR="00000000" w:rsidRPr="00000000">
        <w:rPr>
          <w:b w:val="1"/>
          <w:bCs w:val="1"/>
          <w:rtl w:val="0"/>
        </w:rPr>
        <w:t xml:space="preserve">Nouveaux Bénéficiaires RIS (Est.)</w:t>
      </w:r>
      <w:r w:rsidDel="00000000" w:rsidR="00000000" w:rsidRPr="00000000">
        <w:rPr>
          <w:rtl w:val="0"/>
        </w:rPr>
        <w:t xml:space="preserve"> | </w:t>
      </w:r>
      <w:r w:rsidDel="00000000" w:rsidR="00000000" w:rsidRPr="00000000">
        <w:rPr>
          <w:b w:val="1"/>
          <w:bCs w:val="1"/>
          <w:rtl w:val="0"/>
        </w:rPr>
        <w:t xml:space="preserve">Coût Net pour les CPAS (M€)</w:t>
      </w:r>
      <w:r w:rsidDel="00000000" w:rsidR="00000000" w:rsidRPr="00000000">
        <w:rPr>
          <w:rtl w:val="0"/>
        </w:rPr>
        <w:t xml:space="preserve"> || ------ | ------ | ------ || </w:t>
      </w:r>
      <w:r w:rsidDel="00000000" w:rsidR="00000000" w:rsidRPr="00000000">
        <w:rPr>
          <w:b w:val="1"/>
          <w:bCs w:val="1"/>
          <w:rtl w:val="0"/>
        </w:rPr>
        <w:t xml:space="preserve">Wallonie</w:t>
      </w:r>
      <w:r w:rsidDel="00000000" w:rsidR="00000000" w:rsidRPr="00000000">
        <w:rPr>
          <w:rtl w:val="0"/>
        </w:rPr>
        <w:t xml:space="preserve"> | + 13 436 | </w:t>
      </w:r>
      <w:r w:rsidDel="00000000" w:rsidR="00000000" w:rsidRPr="00000000">
        <w:rPr>
          <w:b w:val="1"/>
          <w:bCs w:val="1"/>
          <w:rtl w:val="0"/>
        </w:rPr>
        <w:t xml:space="preserve">69,7 M€</w:t>
      </w:r>
      <w:r w:rsidDel="00000000" w:rsidR="00000000" w:rsidRPr="00000000">
        <w:rPr>
          <w:rtl w:val="0"/>
        </w:rPr>
        <w:t xml:space="preserve"> || </w:t>
      </w:r>
      <w:r w:rsidDel="00000000" w:rsidR="00000000" w:rsidRPr="00000000">
        <w:rPr>
          <w:b w:val="1"/>
          <w:bCs w:val="1"/>
          <w:rtl w:val="0"/>
        </w:rPr>
        <w:t xml:space="preserve">Bruxelles-Capitale</w:t>
      </w:r>
      <w:r w:rsidDel="00000000" w:rsidR="00000000" w:rsidRPr="00000000">
        <w:rPr>
          <w:rtl w:val="0"/>
        </w:rPr>
        <w:t xml:space="preserve"> | + 9 667 | </w:t>
      </w:r>
      <w:r w:rsidDel="00000000" w:rsidR="00000000" w:rsidRPr="00000000">
        <w:rPr>
          <w:b w:val="1"/>
          <w:bCs w:val="1"/>
          <w:rtl w:val="0"/>
        </w:rPr>
        <w:t xml:space="preserve">42,8 M€</w:t>
      </w:r>
      <w:r w:rsidDel="00000000" w:rsidR="00000000" w:rsidRPr="00000000">
        <w:rPr>
          <w:rtl w:val="0"/>
        </w:rPr>
        <w:t xml:space="preserve"> || </w:t>
      </w:r>
      <w:r w:rsidDel="00000000" w:rsidR="00000000" w:rsidRPr="00000000">
        <w:rPr>
          <w:b w:val="1"/>
          <w:bCs w:val="1"/>
          <w:rtl w:val="0"/>
        </w:rPr>
        <w:t xml:space="preserve">Flandre</w:t>
      </w:r>
      <w:r w:rsidDel="00000000" w:rsidR="00000000" w:rsidRPr="00000000">
        <w:rPr>
          <w:rtl w:val="0"/>
        </w:rPr>
        <w:t xml:space="preserve"> | + 7 019 | </w:t>
      </w:r>
      <w:r w:rsidDel="00000000" w:rsidR="00000000" w:rsidRPr="00000000">
        <w:rPr>
          <w:b w:val="1"/>
          <w:bCs w:val="1"/>
          <w:rtl w:val="0"/>
        </w:rPr>
        <w:t xml:space="preserve">38,0 M€</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Il est à noter que la Région de Bruxelles-Capitale est particulièrement touchée, concentrant près d'un tiers des exclus alors qu'elle ne représente qu'un dixième de la population belge.</w:t>
      </w:r>
    </w:p>
    <w:p w:rsidR="00000000" w:rsidDel="00000000" w:rsidP="00000000" w:rsidRDefault="00000000" w:rsidRPr="00000000" w14:paraId="0000000F">
      <w:pPr>
        <w:pStyle w:val="Heading5"/>
        <w:rPr/>
      </w:pPr>
      <w:bookmarkStart w:colFirst="0" w:colLast="0" w:name="_8fmpeiawt0bw" w:id="7"/>
      <w:bookmarkEnd w:id="7"/>
      <w:r w:rsidDel="00000000" w:rsidR="00000000" w:rsidRPr="00000000">
        <w:rPr>
          <w:rtl w:val="0"/>
        </w:rPr>
        <w:t xml:space="preserve">3.2 Analyse du Surcoût Budgétaire Réel pour les Pouvoirs Locaux</w:t>
      </w:r>
    </w:p>
    <w:p w:rsidR="00000000" w:rsidDel="00000000" w:rsidP="00000000" w:rsidRDefault="00000000" w:rsidRPr="00000000" w14:paraId="00000010">
      <w:pPr>
        <w:rPr/>
      </w:pPr>
      <w:r w:rsidDel="00000000" w:rsidR="00000000" w:rsidRPr="00000000">
        <w:rPr>
          <w:rtl w:val="0"/>
        </w:rPr>
        <w:t xml:space="preserve">L'impact financier pour les communes va au-delà du coût net présenté ci-dessus. Le mécanisme de financement du RIS implique que les communes doivent couvrir sur fonds propres entre  </w:t>
      </w:r>
      <w:r w:rsidDel="00000000" w:rsidR="00000000" w:rsidRPr="00000000">
        <w:rPr>
          <w:b w:val="1"/>
          <w:bCs w:val="1"/>
          <w:rtl w:val="0"/>
        </w:rPr>
        <w:t xml:space="preserve">30 % et 45 %</w:t>
      </w:r>
      <w:r w:rsidDel="00000000" w:rsidR="00000000" w:rsidRPr="00000000">
        <w:rPr>
          <w:rtl w:val="0"/>
        </w:rPr>
        <w:t xml:space="preserve">  du montant de chaque allocation versée. Ce surcoût est par ailleurs aggravé par les aides sociales complémentaires (logement, énergie, frais médicaux) que les CPAS octroient en plus du RIS et qui sont quasi exclusivement à la charge de la commune, ainsi que par les coûts indirects liés à la gestion administrative et à l'accompagnement social de ces nouveaux dossiers.</w:t>
      </w:r>
    </w:p>
    <w:p w:rsidR="00000000" w:rsidDel="00000000" w:rsidP="00000000" w:rsidRDefault="00000000" w:rsidRPr="00000000" w14:paraId="00000011">
      <w:pPr>
        <w:pStyle w:val="Heading5"/>
        <w:rPr/>
      </w:pPr>
      <w:bookmarkStart w:colFirst="0" w:colLast="0" w:name="_8y6x732hxyz7" w:id="8"/>
      <w:bookmarkEnd w:id="8"/>
      <w:r w:rsidDel="00000000" w:rsidR="00000000" w:rsidRPr="00000000">
        <w:rPr>
          <w:rtl w:val="0"/>
        </w:rPr>
        <w:t xml:space="preserve">3.3 Évaluation Critique des Mécanismes de Compensation Fédéraux</w:t>
      </w:r>
    </w:p>
    <w:p w:rsidR="00000000" w:rsidDel="00000000" w:rsidP="00000000" w:rsidRDefault="00000000" w:rsidRPr="00000000" w14:paraId="00000012">
      <w:pPr>
        <w:rPr/>
      </w:pPr>
      <w:r w:rsidDel="00000000" w:rsidR="00000000" w:rsidRPr="00000000">
        <w:rPr>
          <w:rtl w:val="0"/>
        </w:rPr>
        <w:t xml:space="preserve">Conscient du risque financier pour les pouvoirs locaux, le gouvernement fédéral a prévu un mécanisme de compensation. Celui-ci repose sur une enveloppe globale de  </w:t>
      </w:r>
      <w:r w:rsidDel="00000000" w:rsidR="00000000" w:rsidRPr="00000000">
        <w:rPr>
          <w:b w:val="1"/>
          <w:bCs w:val="1"/>
          <w:rtl w:val="0"/>
        </w:rPr>
        <w:t xml:space="preserve">300 millions d'euros</w:t>
      </w:r>
      <w:r w:rsidDel="00000000" w:rsidR="00000000" w:rsidRPr="00000000">
        <w:rPr>
          <w:rtl w:val="0"/>
        </w:rPr>
        <w:t xml:space="preserve">  et inclut un subside spécifique de  </w:t>
      </w:r>
      <w:r w:rsidDel="00000000" w:rsidR="00000000" w:rsidRPr="00000000">
        <w:rPr>
          <w:b w:val="1"/>
          <w:bCs w:val="1"/>
          <w:rtl w:val="0"/>
        </w:rPr>
        <w:t xml:space="preserve">518 € annuels</w:t>
      </w:r>
      <w:r w:rsidDel="00000000" w:rsidR="00000000" w:rsidRPr="00000000">
        <w:rPr>
          <w:rtl w:val="0"/>
        </w:rPr>
        <w:t xml:space="preserve">  par personne exclue du chômage. Cependant, les fédérations de CPAS ont unanimement jugé cette compensation comme étant  </w:t>
      </w:r>
      <w:r w:rsidDel="00000000" w:rsidR="00000000" w:rsidRPr="00000000">
        <w:rPr>
          <w:b w:val="1"/>
          <w:bCs w:val="1"/>
          <w:rtl w:val="0"/>
        </w:rPr>
        <w:t xml:space="preserve">largement insuffisante</w:t>
      </w:r>
      <w:r w:rsidDel="00000000" w:rsidR="00000000" w:rsidRPr="00000000">
        <w:rPr>
          <w:rtl w:val="0"/>
        </w:rPr>
        <w:t xml:space="preserve"> . Plusieurs raisons expliquent cette position :</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Couverture partielle :</w:t>
      </w:r>
      <w:r w:rsidDel="00000000" w:rsidR="00000000" w:rsidRPr="00000000">
        <w:rPr>
          <w:rtl w:val="0"/>
        </w:rPr>
        <w:t xml:space="preserve">  Le montant ne couvre pas l'intégralité des coûts réels, en particulier les frais de personnel et les coûts administratifs induits par la gestion de ces nouveaux dossiers complexes.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Caractère temporaire :</w:t>
      </w:r>
      <w:r w:rsidDel="00000000" w:rsidR="00000000" w:rsidRPr="00000000">
        <w:rPr>
          <w:rtl w:val="0"/>
        </w:rPr>
        <w:t xml:space="preserve">  L'aide est bornée dans le temps. Le subside de 518 € n'est par exemple prévu que pour la période du 1er janvier au 30 juin 2026, créant un risque d' </w:t>
      </w:r>
      <w:r w:rsidDel="00000000" w:rsidR="00000000" w:rsidRPr="00000000">
        <w:rPr>
          <w:b w:val="1"/>
          <w:bCs w:val="1"/>
          <w:rtl w:val="0"/>
        </w:rPr>
        <w:t xml:space="preserve">"effet falaise"</w:t>
      </w:r>
      <w:r w:rsidDel="00000000" w:rsidR="00000000" w:rsidRPr="00000000">
        <w:rPr>
          <w:rtl w:val="0"/>
        </w:rPr>
        <w:t xml:space="preserve">  budgétaire pour les communes, alors que la charge, elle, sera devenue structurelle.Ce déficit financier imminent n'est pas qu'un problème comptable ; il est la cause directe d'une crise opérationnelle profonde qui menace la capacité même des CPAS à remplir leurs missions légales et sociales, comme nous allons maintenant l'examiner.</w:t>
      </w:r>
    </w:p>
    <w:p w:rsidR="00000000" w:rsidDel="00000000" w:rsidP="00000000" w:rsidRDefault="00000000" w:rsidRPr="00000000" w14:paraId="00000015">
      <w:pPr>
        <w:pStyle w:val="Heading4"/>
        <w:rPr/>
      </w:pPr>
      <w:bookmarkStart w:colFirst="0" w:colLast="0" w:name="_71hvtv58asez" w:id="9"/>
      <w:bookmarkEnd w:id="9"/>
      <w:r w:rsidDel="00000000" w:rsidR="00000000" w:rsidRPr="00000000">
        <w:rPr>
          <w:rtl w:val="0"/>
        </w:rPr>
        <w:t xml:space="preserve">4. La Crise Opérationnelle : Anticiper les Défis Organisationnels et Humains</w:t>
      </w:r>
    </w:p>
    <w:p w:rsidR="00000000" w:rsidDel="00000000" w:rsidP="00000000" w:rsidRDefault="00000000" w:rsidRPr="00000000" w14:paraId="00000016">
      <w:pPr>
        <w:rPr/>
      </w:pPr>
      <w:r w:rsidDel="00000000" w:rsidR="00000000" w:rsidRPr="00000000">
        <w:rPr>
          <w:rtl w:val="0"/>
        </w:rPr>
        <w:t xml:space="preserve">Au-delà des chiffres budgétaires, l'afflux de plus de 30 000 nouveaux dossiers met en péril la capacité même des CPAS à remplir leurs missions légales et humaines. La pression ne s'exerce pas seulement sur les finances, mais sur l'ensemble de l'appareil administratif et social des communes. Cette section se concentre sur les défis concrets en matière de ressources humaines, de processus de travail et de qualité de l'accompagnement.</w:t>
      </w:r>
    </w:p>
    <w:p w:rsidR="00000000" w:rsidDel="00000000" w:rsidP="00000000" w:rsidRDefault="00000000" w:rsidRPr="00000000" w14:paraId="00000017">
      <w:pPr>
        <w:pStyle w:val="Heading5"/>
        <w:rPr/>
      </w:pPr>
      <w:bookmarkStart w:colFirst="0" w:colLast="0" w:name="_hirmsevr23te" w:id="10"/>
      <w:bookmarkEnd w:id="10"/>
      <w:r w:rsidDel="00000000" w:rsidR="00000000" w:rsidRPr="00000000">
        <w:rPr>
          <w:rtl w:val="0"/>
        </w:rPr>
        <w:t xml:space="preserve">4.1 Surcharge Administrative et Besoins en Personnel</w:t>
      </w:r>
    </w:p>
    <w:p w:rsidR="00000000" w:rsidDel="00000000" w:rsidP="00000000" w:rsidRDefault="00000000" w:rsidRPr="00000000" w14:paraId="00000018">
      <w:pPr>
        <w:rPr/>
      </w:pPr>
      <w:r w:rsidDel="00000000" w:rsidR="00000000" w:rsidRPr="00000000">
        <w:rPr>
          <w:rtl w:val="0"/>
        </w:rPr>
        <w:t xml:space="preserve">L'augmentation du volume de dossiers se traduit directement par un besoin accru en personnel. Selon les estimations du DULBEA, il faudrait recruter l'équivalent de  </w:t>
      </w:r>
      <w:r w:rsidDel="00000000" w:rsidR="00000000" w:rsidRPr="00000000">
        <w:rPr>
          <w:b w:val="1"/>
          <w:bCs w:val="1"/>
          <w:rtl w:val="0"/>
        </w:rPr>
        <w:t xml:space="preserve">240 ETP</w:t>
      </w:r>
      <w:r w:rsidDel="00000000" w:rsidR="00000000" w:rsidRPr="00000000">
        <w:rPr>
          <w:rtl w:val="0"/>
        </w:rPr>
        <w:t xml:space="preserve">  (Équivalents Temps Plein) rien que pour la Région bruxelloise, avec un surcoût national en personnel évalué à  </w:t>
      </w:r>
      <w:r w:rsidDel="00000000" w:rsidR="00000000" w:rsidRPr="00000000">
        <w:rPr>
          <w:b w:val="1"/>
          <w:bCs w:val="1"/>
          <w:rtl w:val="0"/>
        </w:rPr>
        <w:t xml:space="preserve">20 millions d'euros</w:t>
      </w:r>
      <w:r w:rsidDel="00000000" w:rsidR="00000000" w:rsidRPr="00000000">
        <w:rPr>
          <w:rtl w:val="0"/>
        </w:rPr>
        <w:t xml:space="preserve"> . Cette surcharge menace directement deux obligations légales fondamentales des CPAS :</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Le Projet Individualisé d'Intégration Sociale (PIIS) :</w:t>
      </w:r>
      <w:r w:rsidDel="00000000" w:rsidR="00000000" w:rsidRPr="00000000">
        <w:rPr>
          <w:rtl w:val="0"/>
        </w:rPr>
        <w:t xml:space="preserve">  La loi impose la réalisation de ce projet pour chaque bénéficiaire, ce qui requiert un suivi personnalisé et chronophage.</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Le délai de décision :</w:t>
      </w:r>
      <w:r w:rsidDel="00000000" w:rsidR="00000000" w:rsidRPr="00000000">
        <w:rPr>
          <w:rtl w:val="0"/>
        </w:rPr>
        <w:t xml:space="preserve">  Le risque que le délai légal de 30 jours pour statuer sur une demande d'aide ne puisse être respecté est réel, laissant des familles sans ressources pendant des périodes critiques.</w:t>
      </w:r>
    </w:p>
    <w:p w:rsidR="00000000" w:rsidDel="00000000" w:rsidP="00000000" w:rsidRDefault="00000000" w:rsidRPr="00000000" w14:paraId="0000001B">
      <w:pPr>
        <w:pStyle w:val="Heading5"/>
        <w:rPr/>
      </w:pPr>
      <w:bookmarkStart w:colFirst="0" w:colLast="0" w:name="_s7493f60bkpi" w:id="11"/>
      <w:bookmarkEnd w:id="11"/>
      <w:r w:rsidDel="00000000" w:rsidR="00000000" w:rsidRPr="00000000">
        <w:rPr>
          <w:rtl w:val="0"/>
        </w:rPr>
        <w:t xml:space="preserve">4.2 Le Nouveau Système de Financement "Bonus-Malus" : Une Pénalisation des Territoires Précarisés ?</w:t>
      </w:r>
    </w:p>
    <w:p w:rsidR="00000000" w:rsidDel="00000000" w:rsidP="00000000" w:rsidRDefault="00000000" w:rsidRPr="00000000" w14:paraId="0000001C">
      <w:pPr>
        <w:rPr/>
      </w:pPr>
      <w:r w:rsidDel="00000000" w:rsidR="00000000" w:rsidRPr="00000000">
        <w:rPr>
          <w:rtl w:val="0"/>
        </w:rPr>
        <w:t xml:space="preserve">L'accord "Arizona" introduit une nouvelle logique de financement qui conditionne une partie des subsides fédéraux aux CPAS à leurs résultats en matière de mise à l'emploi. Ce système dit de "bonus-malus" est source de vives inquiétudes. Son effet pervers potentiel est majeur : comme il ne tient pas compte des disparités sociologiques territoriales, il risque de pénaliser financièrement les CPAS des communes confrontées à des freins structurels à l'emploi (tissu économique faible, problèmes de mobilité), comme dans les bassins post-industriels de Charleroi ou de Liège. Plutôt que d'encourager l'activation, ce mécanisme pourrait aggraver la fracture territoriale en retirant des moyens aux services sociaux qui en ont le plus besoin.</w:t>
      </w:r>
    </w:p>
    <w:p w:rsidR="00000000" w:rsidDel="00000000" w:rsidP="00000000" w:rsidRDefault="00000000" w:rsidRPr="00000000" w14:paraId="0000001D">
      <w:pPr>
        <w:pStyle w:val="Heading5"/>
        <w:rPr/>
      </w:pPr>
      <w:bookmarkStart w:colFirst="0" w:colLast="0" w:name="_kqe57ywso7zh" w:id="12"/>
      <w:bookmarkEnd w:id="12"/>
      <w:r w:rsidDel="00000000" w:rsidR="00000000" w:rsidRPr="00000000">
        <w:rPr>
          <w:rtl w:val="0"/>
        </w:rPr>
        <w:t xml:space="preserve">4.3 L'Impact Humain sur les Équipes Sociales</w:t>
      </w:r>
    </w:p>
    <w:p w:rsidR="00000000" w:rsidDel="00000000" w:rsidP="00000000" w:rsidRDefault="00000000" w:rsidRPr="00000000" w14:paraId="0000001E">
      <w:pPr>
        <w:rPr/>
      </w:pPr>
      <w:r w:rsidDel="00000000" w:rsidR="00000000" w:rsidRPr="00000000">
        <w:rPr>
          <w:rtl w:val="0"/>
        </w:rPr>
        <w:t xml:space="preserve">Enfin, il est crucial de mesurer les conséquences humaines de la réforme sur les travailleurs sociaux eux-mêmes. Ceux-ci font face à une charge mentale et émotionnelle accrue, liée à l'accompagnement d'un public "désenchanté". Ces nouveaux bénéficiaires ne sont pas des demandeurs d'aide classiques ; ils ont perdu un droit pour lequel ils ont cotisé et vivent souvent le passage au CPAS comme une déchéance. Cette charge sera aggravée par l'arrivée potentielle de personnes issues de la réforme de l'incapacité de travail, poussées de manière coercitive vers les services sociaux. Cette situation génère un risque réel de  </w:t>
      </w:r>
      <w:r w:rsidDel="00000000" w:rsidR="00000000" w:rsidRPr="00000000">
        <w:rPr>
          <w:b w:val="1"/>
          <w:bCs w:val="1"/>
          <w:rtl w:val="0"/>
        </w:rPr>
        <w:t xml:space="preserve">burn-out massif</w:t>
      </w:r>
      <w:r w:rsidDel="00000000" w:rsidR="00000000" w:rsidRPr="00000000">
        <w:rPr>
          <w:rtl w:val="0"/>
        </w:rPr>
        <w:t xml:space="preserve">  au sein des équipes sociales, menaçant à terme la continuité et la qualité du service public de l'aide sociale.</w:t>
      </w:r>
    </w:p>
    <w:p w:rsidR="00000000" w:rsidDel="00000000" w:rsidP="00000000" w:rsidRDefault="00000000" w:rsidRPr="00000000" w14:paraId="0000001F">
      <w:pPr>
        <w:pStyle w:val="Heading4"/>
        <w:rPr/>
      </w:pPr>
      <w:bookmarkStart w:colFirst="0" w:colLast="0" w:name="_uhncgbgk9qup" w:id="13"/>
      <w:bookmarkEnd w:id="13"/>
      <w:r w:rsidDel="00000000" w:rsidR="00000000" w:rsidRPr="00000000">
        <w:rPr>
          <w:rtl w:val="0"/>
        </w:rPr>
        <w:t xml:space="preserve">5. Facteurs Aggravants : Impacts Indirects d'Autres Réformes Fédérales</w:t>
      </w:r>
    </w:p>
    <w:p w:rsidR="00000000" w:rsidDel="00000000" w:rsidP="00000000" w:rsidRDefault="00000000" w:rsidRPr="00000000" w14:paraId="00000020">
      <w:pPr>
        <w:rPr/>
      </w:pPr>
      <w:r w:rsidDel="00000000" w:rsidR="00000000" w:rsidRPr="00000000">
        <w:rPr>
          <w:rtl w:val="0"/>
        </w:rPr>
        <w:t xml:space="preserve">La réforme du chômage n'opère pas en vase clos. Elle s'inscrit dans une philosophie plus large de la coalition "Arizona" qui, à travers d'autres mesures dans les domaines de la santé et de l'incapacité de travail, contribue également à précariser les ménages et à augmenter la pression sur les services sociaux locaux. Ces facteurs aggravants renforcent l'effet de ciseaux sur les finances et les missions des CPAS.</w:t>
      </w:r>
    </w:p>
    <w:p w:rsidR="00000000" w:rsidDel="00000000" w:rsidP="00000000" w:rsidRDefault="00000000" w:rsidRPr="00000000" w14:paraId="00000021">
      <w:pPr>
        <w:pStyle w:val="Heading5"/>
        <w:rPr/>
      </w:pPr>
      <w:bookmarkStart w:colFirst="0" w:colLast="0" w:name="_odja3x5894qa" w:id="14"/>
      <w:bookmarkEnd w:id="14"/>
      <w:r w:rsidDel="00000000" w:rsidR="00000000" w:rsidRPr="00000000">
        <w:rPr>
          <w:rtl w:val="0"/>
        </w:rPr>
        <w:t xml:space="preserve">5.1 L'Activation Coercitive des Malades de Longue Durée</w:t>
      </w:r>
    </w:p>
    <w:p w:rsidR="00000000" w:rsidDel="00000000" w:rsidP="00000000" w:rsidRDefault="00000000" w:rsidRPr="00000000" w14:paraId="00000022">
      <w:pPr>
        <w:rPr/>
      </w:pPr>
      <w:r w:rsidDel="00000000" w:rsidR="00000000" w:rsidRPr="00000000">
        <w:rPr>
          <w:rtl w:val="0"/>
        </w:rPr>
        <w:t xml:space="preserve">La réforme du "Trajet Retour au Travail" pour les personnes en incapacité de travail instaure un cadre plus coercitif. Sa mesure phare est l'introduction d'une sanction financière directe — une  </w:t>
      </w:r>
      <w:r w:rsidDel="00000000" w:rsidR="00000000" w:rsidRPr="00000000">
        <w:rPr>
          <w:b w:val="1"/>
          <w:bCs w:val="1"/>
          <w:rtl w:val="0"/>
        </w:rPr>
        <w:t xml:space="preserve">réduction de 2,5 %</w:t>
      </w:r>
      <w:r w:rsidDel="00000000" w:rsidR="00000000" w:rsidRPr="00000000">
        <w:rPr>
          <w:rtl w:val="0"/>
        </w:rPr>
        <w:t xml:space="preserve">  de l'indemnité journalière — en cas de non-coopération de la part du malade. Cette approche a été vivement critiquée par des instances comme l'Institut Fédéral des Droits Humains (IFDH) et le Conseil National du Travail (CNT), qui y voient une atteinte potentielle au droit à la sécurité sociale. L'implémentation de cette mesure risque de pousser des personnes déjà fragilisées par la maladie, en cas de perte de leurs indemnités, à se tourner vers le CPAS, ajoutant ainsi une nouvelle catégorie de public vulnérable aux portes des services sociaux.</w:t>
      </w:r>
    </w:p>
    <w:p w:rsidR="00000000" w:rsidDel="00000000" w:rsidP="00000000" w:rsidRDefault="00000000" w:rsidRPr="00000000" w14:paraId="00000023">
      <w:pPr>
        <w:pStyle w:val="Heading5"/>
        <w:rPr/>
      </w:pPr>
      <w:bookmarkStart w:colFirst="0" w:colLast="0" w:name="_h4ahhj5xk6fn" w:id="15"/>
      <w:bookmarkEnd w:id="15"/>
      <w:r w:rsidDel="00000000" w:rsidR="00000000" w:rsidRPr="00000000">
        <w:rPr>
          <w:rtl w:val="0"/>
        </w:rPr>
        <w:t xml:space="preserve">5.2 L'Augmentation du Coût de la Santé pour les Plus Précaires</w:t>
      </w:r>
    </w:p>
    <w:p w:rsidR="00000000" w:rsidDel="00000000" w:rsidP="00000000" w:rsidRDefault="00000000" w:rsidRPr="00000000" w14:paraId="00000024">
      <w:pPr>
        <w:rPr/>
      </w:pPr>
      <w:r w:rsidDel="00000000" w:rsidR="00000000" w:rsidRPr="00000000">
        <w:rPr>
          <w:rtl w:val="0"/>
        </w:rPr>
        <w:t xml:space="preserve">Le volet santé de l'accord présente une double dynamique. D'un côté, il contient une avancée sociale majeure avec l'interdiction des suppléments d'honoraires pour les patients bénéficiant de l'intervention majorée (BIM). De l'autre, pour respecter des objectifs budgétaires stricts, le gouvernement a mis en place des mesures d'économie qui augmentent le coût des soins pour les patients. Dans le cadre d'une économie globale de  </w:t>
      </w:r>
      <w:r w:rsidDel="00000000" w:rsidR="00000000" w:rsidRPr="00000000">
        <w:rPr>
          <w:b w:val="1"/>
          <w:bCs w:val="1"/>
          <w:rtl w:val="0"/>
        </w:rPr>
        <w:t xml:space="preserve">228 millions d'euros</w:t>
      </w:r>
      <w:r w:rsidDel="00000000" w:rsidR="00000000" w:rsidRPr="00000000">
        <w:rPr>
          <w:rtl w:val="0"/>
        </w:rPr>
        <w:t xml:space="preserve">  sur le secteur pharmaceutique, on note principalement :</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La hausse du ticket modérateur :</w:t>
      </w:r>
      <w:r w:rsidDel="00000000" w:rsidR="00000000" w:rsidRPr="00000000">
        <w:rPr>
          <w:rtl w:val="0"/>
        </w:rPr>
        <w:t xml:space="preserve">  La fin de la gratuité totale sur certains médicaments "d'importance vitale" pour les bénéficiaires BIM, générant une économie de  </w:t>
      </w:r>
      <w:r w:rsidDel="00000000" w:rsidR="00000000" w:rsidRPr="00000000">
        <w:rPr>
          <w:b w:val="1"/>
          <w:bCs w:val="1"/>
          <w:rtl w:val="0"/>
        </w:rPr>
        <w:t xml:space="preserve">26,2 millions d'euros</w:t>
      </w:r>
      <w:r w:rsidDel="00000000" w:rsidR="00000000" w:rsidRPr="00000000">
        <w:rPr>
          <w:rtl w:val="0"/>
        </w:rPr>
        <w:t xml:space="preserve">  pour l'État.</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La réduction des remboursements :</w:t>
      </w:r>
      <w:r w:rsidDel="00000000" w:rsidR="00000000" w:rsidRPr="00000000">
        <w:rPr>
          <w:rtl w:val="0"/>
        </w:rPr>
        <w:t xml:space="preserve">  La base de remboursement de médicaments très courants (anti-acides de type IPP, statines) est réduite, transférant  </w:t>
      </w:r>
      <w:r w:rsidDel="00000000" w:rsidR="00000000" w:rsidRPr="00000000">
        <w:rPr>
          <w:b w:val="1"/>
          <w:bCs w:val="1"/>
          <w:rtl w:val="0"/>
        </w:rPr>
        <w:t xml:space="preserve">87,2 millions d'euros</w:t>
      </w:r>
      <w:r w:rsidDel="00000000" w:rsidR="00000000" w:rsidRPr="00000000">
        <w:rPr>
          <w:rtl w:val="0"/>
        </w:rPr>
        <w:t xml:space="preserve">  de coût vers les patients.Qualifiées de "taxe santé" déguisée par les mutualités, ces mesures accroissent la pression financière sur les ménages précaires et augmentent la probabilité de demandes d'aides sociales complémentaires auprès des CPAS pour couvrir des frais de santé devenus insupportables.</w:t>
      </w:r>
    </w:p>
    <w:p w:rsidR="00000000" w:rsidDel="00000000" w:rsidP="00000000" w:rsidRDefault="00000000" w:rsidRPr="00000000" w14:paraId="00000027">
      <w:pPr>
        <w:pStyle w:val="Heading4"/>
        <w:rPr/>
      </w:pPr>
      <w:bookmarkStart w:colFirst="0" w:colLast="0" w:name="_7ccu2xix3hdz" w:id="16"/>
      <w:bookmarkEnd w:id="16"/>
      <w:r w:rsidDel="00000000" w:rsidR="00000000" w:rsidRPr="00000000">
        <w:rPr>
          <w:rtl w:val="0"/>
        </w:rPr>
        <w:t xml:space="preserve">6. Conclusion : Enjeux et Points de Vigilance pour les Pouvoirs Locaux</w:t>
      </w:r>
    </w:p>
    <w:p w:rsidR="00000000" w:rsidDel="00000000" w:rsidP="00000000" w:rsidRDefault="00000000" w:rsidRPr="00000000" w14:paraId="00000028">
      <w:pPr>
        <w:rPr/>
      </w:pPr>
      <w:r w:rsidDel="00000000" w:rsidR="00000000" w:rsidRPr="00000000">
        <w:rPr>
          <w:rtl w:val="0"/>
        </w:rPr>
        <w:t xml:space="preserve">Le diagnostic est sans appel : les réformes engagées par la coalition "Arizona" organisent un transfert de responsabilités et de charges sans précédent du niveau fédéral vers le niveau local. En faisant de la limitation des droits à l'assurance chômage la pierre angulaire de sa politique socio-économique, le gouvernement place les CPAS et les finances communales en première ligne d'une crise sociale annoncée, dont les effets se déploieront pleinement dès 2026.</w:t>
      </w:r>
    </w:p>
    <w:p w:rsidR="00000000" w:rsidDel="00000000" w:rsidP="00000000" w:rsidRDefault="00000000" w:rsidRPr="00000000" w14:paraId="00000029">
      <w:pPr>
        <w:pStyle w:val="Heading5"/>
        <w:rPr/>
      </w:pPr>
      <w:bookmarkStart w:colFirst="0" w:colLast="0" w:name="_vtppr9akh36d" w:id="17"/>
      <w:bookmarkEnd w:id="17"/>
      <w:r w:rsidDel="00000000" w:rsidR="00000000" w:rsidRPr="00000000">
        <w:rPr>
          <w:rtl w:val="0"/>
        </w:rPr>
        <w:t xml:space="preserve">6.1 Synthèse des Impacts Stratégiques</w:t>
      </w:r>
    </w:p>
    <w:p w:rsidR="00000000" w:rsidDel="00000000" w:rsidP="00000000" w:rsidRDefault="00000000" w:rsidRPr="00000000" w14:paraId="0000002A">
      <w:pPr>
        <w:rPr/>
      </w:pPr>
      <w:r w:rsidDel="00000000" w:rsidR="00000000" w:rsidRPr="00000000">
        <w:rPr>
          <w:rtl w:val="0"/>
        </w:rPr>
        <w:t xml:space="preserve">Pour les pouvoirs locaux, les conséquences de ces réformes peuvent être synthétisées en trois impacts majeurs :</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Impact Financier :</w:t>
      </w:r>
      <w:r w:rsidDel="00000000" w:rsidR="00000000" w:rsidRPr="00000000">
        <w:rPr>
          <w:rtl w:val="0"/>
        </w:rPr>
        <w:t xml:space="preserve">  Un surcoût budgétaire structurel et chroniquement sous-compensé. L'addition des coûts nets (ex:  </w:t>
      </w:r>
      <w:r w:rsidDel="00000000" w:rsidR="00000000" w:rsidRPr="00000000">
        <w:rPr>
          <w:b w:val="1"/>
          <w:bCs w:val="1"/>
          <w:rtl w:val="0"/>
        </w:rPr>
        <w:t xml:space="preserve">69,7 M€</w:t>
      </w:r>
      <w:r w:rsidDel="00000000" w:rsidR="00000000" w:rsidRPr="00000000">
        <w:rPr>
          <w:rtl w:val="0"/>
        </w:rPr>
        <w:t xml:space="preserve">  pour la Wallonie,  </w:t>
      </w:r>
      <w:r w:rsidDel="00000000" w:rsidR="00000000" w:rsidRPr="00000000">
        <w:rPr>
          <w:b w:val="1"/>
          <w:bCs w:val="1"/>
          <w:rtl w:val="0"/>
        </w:rPr>
        <w:t xml:space="preserve">42,8 M€</w:t>
      </w:r>
      <w:r w:rsidDel="00000000" w:rsidR="00000000" w:rsidRPr="00000000">
        <w:rPr>
          <w:rtl w:val="0"/>
        </w:rPr>
        <w:t xml:space="preserve">  pour Bruxelles), des frais de personnel ( </w:t>
      </w:r>
      <w:r w:rsidDel="00000000" w:rsidR="00000000" w:rsidRPr="00000000">
        <w:rPr>
          <w:b w:val="1"/>
          <w:bCs w:val="1"/>
          <w:rtl w:val="0"/>
        </w:rPr>
        <w:t xml:space="preserve">20 M€</w:t>
      </w:r>
      <w:r w:rsidDel="00000000" w:rsidR="00000000" w:rsidRPr="00000000">
        <w:rPr>
          <w:rtl w:val="0"/>
        </w:rPr>
        <w:t xml:space="preserve">  au niveau national) et de la pression indirecte des réformes de la santé menace l'équilibre des finances communales, avec une acuité particulière pour les régions déjà fragilisées.</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Impact Organisationnel :</w:t>
      </w:r>
      <w:r w:rsidDel="00000000" w:rsidR="00000000" w:rsidRPr="00000000">
        <w:rPr>
          <w:rtl w:val="0"/>
        </w:rPr>
        <w:t xml:space="preserve">  Une saturation annoncée des services sociaux, qui devront absorber un volume de dossiers sans précédent. Cela nécessitera des investissements massifs en personnel et une révision profonde des processus de travail pour éviter l'effondrement du système.</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Impact Humain et Social :</w:t>
      </w:r>
      <w:r w:rsidDel="00000000" w:rsidR="00000000" w:rsidRPr="00000000">
        <w:rPr>
          <w:rtl w:val="0"/>
        </w:rPr>
        <w:t xml:space="preserve">  Un risque de dégradation de la qualité de l'accompagnement, un épuisement professionnel des équipes sociales et le défi de devoir gérer une précarité de masse avec des outils initialement conçus pour l'aide individuelle et la réinsertion.</w:t>
      </w:r>
    </w:p>
    <w:p w:rsidR="00000000" w:rsidDel="00000000" w:rsidP="00000000" w:rsidRDefault="00000000" w:rsidRPr="00000000" w14:paraId="0000002E">
      <w:pPr>
        <w:pStyle w:val="Heading5"/>
        <w:rPr/>
      </w:pPr>
      <w:bookmarkStart w:colFirst="0" w:colLast="0" w:name="_qolb3jfeu31u" w:id="18"/>
      <w:bookmarkEnd w:id="18"/>
      <w:r w:rsidDel="00000000" w:rsidR="00000000" w:rsidRPr="00000000">
        <w:rPr>
          <w:rtl w:val="0"/>
        </w:rPr>
        <w:t xml:space="preserve">6.2 Recommandations et Perspectives</w:t>
      </w:r>
    </w:p>
    <w:p w:rsidR="00000000" w:rsidDel="00000000" w:rsidP="00000000" w:rsidRDefault="00000000" w:rsidRPr="00000000" w14:paraId="0000002F">
      <w:pPr>
        <w:rPr/>
      </w:pPr>
      <w:r w:rsidDel="00000000" w:rsidR="00000000" w:rsidRPr="00000000">
        <w:rPr>
          <w:rtl w:val="0"/>
        </w:rPr>
        <w:t xml:space="preserve">Face à cette situation, une approche proactive est indispensable. Les décideurs politiques et gestionnaires de CPAS sont invités à considérer les axes de réflexion stratégiques suivants :</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Anticipation budgétaire :</w:t>
      </w:r>
      <w:r w:rsidDel="00000000" w:rsidR="00000000" w:rsidRPr="00000000">
        <w:rPr>
          <w:rtl w:val="0"/>
        </w:rPr>
        <w:t xml:space="preserve">  Comment intégrer et provisionner, dès l'élaboration des budgets 2026, le surcoût net lié à l'afflux des nouveaux bénéficiaires ?</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Plaidoyer politique :</w:t>
      </w:r>
      <w:r w:rsidDel="00000000" w:rsidR="00000000" w:rsidRPr="00000000">
        <w:rPr>
          <w:rtl w:val="0"/>
        </w:rPr>
        <w:t xml:space="preserve">  Quelles stratégies de plaidoyer intercommunal et régional mettre en place pour obtenir une réévaluation des mécanismes de compensation fédéraux et leur pérennisation ?</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Préparation opérationnelle :</w:t>
      </w:r>
      <w:r w:rsidDel="00000000" w:rsidR="00000000" w:rsidRPr="00000000">
        <w:rPr>
          <w:rtl w:val="0"/>
        </w:rPr>
        <w:t xml:space="preserve">  Quels protocoles de formation et de soutien spécifiques (ex: gestion de l'agressivité, approche psycho-sociale adaptée) doivent être développés pour préparer les équipes au profil de ce nouveau public ?</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Monitoring et évaluation :</w:t>
      </w:r>
      <w:r w:rsidDel="00000000" w:rsidR="00000000" w:rsidRPr="00000000">
        <w:rPr>
          <w:rtl w:val="0"/>
        </w:rPr>
        <w:t xml:space="preserve">  Quels indicateurs développer pour monitorer objectivement les effets du système "bonus-malus" et démontrer ses potentiels biais territoriaux afin d'en demander la révision ?La capacité des pouvoirs locaux à anticiper et à répondre collectivement à ces défis déterminera en grande partie la cohésion sociale de nos territoires dans les années à venir.</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