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u0vcq2nlvyb7" w:id="0"/>
      <w:bookmarkEnd w:id="0"/>
      <w:r w:rsidDel="00000000" w:rsidR="00000000" w:rsidRPr="00000000">
        <w:rPr>
          <w:rtl w:val="0"/>
        </w:rPr>
        <w:t xml:space="preserve">Projet TSAR e-BOMBA : Manifeste et Protocole d'Implémentation pour une Guerre Sémantique</w:t>
      </w:r>
    </w:p>
    <w:p w:rsidR="00000000" w:rsidDel="00000000" w:rsidP="00000000" w:rsidRDefault="00000000" w:rsidRPr="00000000" w14:paraId="00000002">
      <w:pPr>
        <w:pStyle w:val="Heading4"/>
        <w:rPr/>
      </w:pPr>
      <w:bookmarkStart w:colFirst="0" w:colLast="0" w:name="_oas5dy7w53kr" w:id="1"/>
      <w:bookmarkEnd w:id="1"/>
      <w:r w:rsidDel="00000000" w:rsidR="00000000" w:rsidRPr="00000000">
        <w:rPr>
          <w:rtl w:val="0"/>
        </w:rPr>
        <w:t xml:space="preserve">1.0 Le Champ de Bataille Informationnel : Redéfinir le Pouvoir à l'Ère Numérique</w:t>
      </w:r>
    </w:p>
    <w:p w:rsidR="00000000" w:rsidDel="00000000" w:rsidP="00000000" w:rsidRDefault="00000000" w:rsidRPr="00000000" w14:paraId="00000003">
      <w:pPr>
        <w:rPr/>
      </w:pPr>
      <w:r w:rsidDel="00000000" w:rsidR="00000000" w:rsidRPr="00000000">
        <w:rPr>
          <w:rtl w:val="0"/>
        </w:rPr>
        <w:t xml:space="preserve">Le pouvoir, à l'ère de la révolution de l'information, a muté. Comme l'a théorisé Joseph S. Nye, il ne réside plus exclusivement dans la capacité de contrainte militaire ou économique ("hard power"), mais de plus en plus dans la faculté d'attraction et de persuasion ("soft power"). Cette révolution a radicalement démocratisé l'accès à l'influence, diffusant le pouvoir au-delà des États-nations vers une myriade d'acteurs non étatiques. Le conflit moderne n'est plus seulement une question de supériorité militaire ; il est devenu une bataille acharnée pour déterminer "quelle histoire l'emporte". Dans cette nouvelle arène, la victoire appartient à ceux qui maîtrisent le mieux le récit.Le "soft power" est la capacité d'orienter les préférences des autres par l'attraction plutôt que par la coercition. Selon Nye, il repose sur trois ressources fondamentales : la  </w:t>
      </w:r>
      <w:r w:rsidDel="00000000" w:rsidR="00000000" w:rsidRPr="00000000">
        <w:rPr>
          <w:b w:val="1"/>
          <w:bCs w:val="1"/>
          <w:rtl w:val="0"/>
        </w:rPr>
        <w:t xml:space="preserve">culture</w:t>
      </w:r>
      <w:r w:rsidDel="00000000" w:rsidR="00000000" w:rsidRPr="00000000">
        <w:rPr>
          <w:rtl w:val="0"/>
        </w:rPr>
        <w:t xml:space="preserve">  d'une nation (lorsqu'elle est attractive), ses  </w:t>
      </w:r>
      <w:r w:rsidDel="00000000" w:rsidR="00000000" w:rsidRPr="00000000">
        <w:rPr>
          <w:b w:val="1"/>
          <w:bCs w:val="1"/>
          <w:rtl w:val="0"/>
        </w:rPr>
        <w:t xml:space="preserve">valeurs politiques</w:t>
      </w:r>
      <w:r w:rsidDel="00000000" w:rsidR="00000000" w:rsidRPr="00000000">
        <w:rPr>
          <w:rtl w:val="0"/>
        </w:rPr>
        <w:t xml:space="preserve">  (lorsqu'elle les respecte), et ses  </w:t>
      </w:r>
      <w:r w:rsidDel="00000000" w:rsidR="00000000" w:rsidRPr="00000000">
        <w:rPr>
          <w:b w:val="1"/>
          <w:bCs w:val="1"/>
          <w:rtl w:val="0"/>
        </w:rPr>
        <w:t xml:space="preserve">politiques étrangères</w:t>
      </w:r>
      <w:r w:rsidDel="00000000" w:rsidR="00000000" w:rsidRPr="00000000">
        <w:rPr>
          <w:rtl w:val="0"/>
        </w:rPr>
        <w:t xml:space="preserve">  (lorsqu'elles sont perçues comme légitimes et dotées d'une autorité morale). Ce cadre conceptuel s'applique parfaitement à la situation des précaires de Belgique. Constitué en tant qu'acteur non étatique, ce groupe fait face à une narrative médiatique hostile qui le dépeint sous un jour systématiquement négatif. Sa survie et sa dignité dépendent de sa capacité à construire son propre soft power, à générer une contre-narrative capable de séduire et de persuader l'opinion publique.Une stratégie de contre-influence n'est pas seulement une option, elle est une nécessité impérieuse. L'échec relatif des stratégies de soft power menées par des États comme la Chine démontre une vérité fondamentale de la guerre informationnelle moderne : la propagande descendante, rigide et contrôlée par le gouvernement, est structurellement inefficace. L'authenticité est la clef. En effet, le web sémantique, par sa nature même, favorise intrinsèquement les signaux émanant de la société civile — liens, partages, contenus générés par les utilisateurs — au détriment des messages descendants et artificiels. Cette architecture crée la vulnérabilité que ce manifeste entend exploiter. La crédibilité ne s'achète pas avec des milliards investis en publicité ; elle émane de la société civile. Pour le collectif des précaires, la véritable force réside dans la mobilisation authentique de ses membres — chômeurs, invalides, malades de longue durée — dont les histoires constituent une source de légitimité que nul appareil médiatique ne peut simuler. La conclusion de Nye est sans appel : "La meilleure propagande n'est pas de la propagande".Pour mener cette bataille, il est essentiel de passer de la théorie à la pratique en identifiant avec une précision chirurgicale les adversaires qui structurent et diffusent le récit dominant.</w:t>
      </w:r>
    </w:p>
    <w:p w:rsidR="00000000" w:rsidDel="00000000" w:rsidP="00000000" w:rsidRDefault="00000000" w:rsidRPr="00000000" w14:paraId="00000004">
      <w:pPr>
        <w:pStyle w:val="Heading4"/>
        <w:rPr/>
      </w:pPr>
      <w:bookmarkStart w:colFirst="0" w:colLast="0" w:name="_3zm89pz9ux1q" w:id="2"/>
      <w:bookmarkEnd w:id="2"/>
      <w:r w:rsidDel="00000000" w:rsidR="00000000" w:rsidRPr="00000000">
        <w:rPr>
          <w:rtl w:val="0"/>
        </w:rPr>
        <w:t xml:space="preserve">2.0 Anatomie de la Cible : Entités, Réseaux et Vulnérabilités</w:t>
      </w:r>
    </w:p>
    <w:p w:rsidR="00000000" w:rsidDel="00000000" w:rsidP="00000000" w:rsidRDefault="00000000" w:rsidRPr="00000000" w14:paraId="00000005">
      <w:pPr>
        <w:rPr/>
      </w:pPr>
      <w:r w:rsidDel="00000000" w:rsidR="00000000" w:rsidRPr="00000000">
        <w:rPr>
          <w:rtl w:val="0"/>
        </w:rPr>
        <w:t xml:space="preserve">Dans une guerre sémantique, la désignation des cibles revêt une importance stratégique capitale. Notre doctrine proscrit l'attaque personnelle. Nos cibles sont immatérielles : ce sont les  </w:t>
      </w:r>
      <w:r w:rsidDel="00000000" w:rsidR="00000000" w:rsidRPr="00000000">
        <w:rPr>
          <w:i w:val="1"/>
          <w:iCs w:val="1"/>
          <w:rtl w:val="0"/>
        </w:rPr>
        <w:t xml:space="preserve">entités numériques</w:t>
      </w:r>
      <w:r w:rsidDel="00000000" w:rsidR="00000000" w:rsidRPr="00000000">
        <w:rPr>
          <w:rtl w:val="0"/>
        </w:rPr>
        <w:t xml:space="preserve">  et les relations qui définissent leur pouvoir dans le graphe de connaissances. Notre théâtre d'opérations est le Web sémantique, et nos cibles sont des nœuds dans les bases de connaissances comme le Knowledge Graph de Google, dont nous devons altérer la signification.</w:t>
      </w:r>
    </w:p>
    <w:p w:rsidR="00000000" w:rsidDel="00000000" w:rsidP="00000000" w:rsidRDefault="00000000" w:rsidRPr="00000000" w14:paraId="00000006">
      <w:pPr>
        <w:pStyle w:val="Heading5"/>
        <w:rPr/>
      </w:pPr>
      <w:bookmarkStart w:colFirst="0" w:colLast="0" w:name="_k1f01rsqrobi" w:id="3"/>
      <w:bookmarkEnd w:id="3"/>
      <w:r w:rsidDel="00000000" w:rsidR="00000000" w:rsidRPr="00000000">
        <w:rPr>
          <w:rtl w:val="0"/>
        </w:rPr>
        <w:t xml:space="preserve">2.1 Cible Primaire : Neutralisation de l'Entité "Christophe Deborsu"</w:t>
      </w:r>
    </w:p>
    <w:p w:rsidR="00000000" w:rsidDel="00000000" w:rsidP="00000000" w:rsidRDefault="00000000" w:rsidRPr="00000000" w14:paraId="00000007">
      <w:pPr>
        <w:rPr/>
      </w:pPr>
      <w:r w:rsidDel="00000000" w:rsidR="00000000" w:rsidRPr="00000000">
        <w:rPr>
          <w:rtl w:val="0"/>
        </w:rPr>
        <w:t xml:space="preserve">L'entité principale à neutraliser est  </w:t>
      </w:r>
      <w:r w:rsidDel="00000000" w:rsidR="00000000" w:rsidRPr="00000000">
        <w:rPr>
          <w:b w:val="1"/>
          <w:bCs w:val="1"/>
          <w:rtl w:val="0"/>
        </w:rPr>
        <w:t xml:space="preserve">"Christophe Deborsu"</w:t>
      </w:r>
      <w:r w:rsidDel="00000000" w:rsidR="00000000" w:rsidRPr="00000000">
        <w:rPr>
          <w:rtl w:val="0"/>
        </w:rPr>
        <w:t xml:space="preserve"> . Conformément aux principes de l'Entity SEO, l'objectif opérationnel est la redéfinition stratégique des "attributs" et des "relations" de cette entité dans le graphe de connaissances. L'opération vise à l'associer durablement et algorithmiquement à des concepts de partialité, de journalisme au service des puissants et d'injustice sociale, sapant ainsi son autorité perçue.</w:t>
      </w:r>
    </w:p>
    <w:p w:rsidR="00000000" w:rsidDel="00000000" w:rsidP="00000000" w:rsidRDefault="00000000" w:rsidRPr="00000000" w14:paraId="00000008">
      <w:pPr>
        <w:pStyle w:val="Heading5"/>
        <w:rPr/>
      </w:pPr>
      <w:bookmarkStart w:colFirst="0" w:colLast="0" w:name="_h2zq82uj8kdj" w:id="4"/>
      <w:bookmarkEnd w:id="4"/>
      <w:r w:rsidDel="00000000" w:rsidR="00000000" w:rsidRPr="00000000">
        <w:rPr>
          <w:rtl w:val="0"/>
        </w:rPr>
        <w:t xml:space="preserve">2.2 Cibles Secondaires : Déstabilisation de l'Écosystème Médiatique</w:t>
      </w:r>
    </w:p>
    <w:p w:rsidR="00000000" w:rsidDel="00000000" w:rsidP="00000000" w:rsidRDefault="00000000" w:rsidRPr="00000000" w14:paraId="00000009">
      <w:pPr>
        <w:rPr/>
      </w:pPr>
      <w:r w:rsidDel="00000000" w:rsidR="00000000" w:rsidRPr="00000000">
        <w:rPr>
          <w:b w:val="1"/>
          <w:bCs w:val="1"/>
          <w:rtl w:val="0"/>
        </w:rPr>
        <w:t xml:space="preserve">RTL Group</w:t>
      </w:r>
      <w:r w:rsidDel="00000000" w:rsidR="00000000" w:rsidRPr="00000000">
        <w:rPr>
          <w:rtl w:val="0"/>
        </w:rPr>
        <w:t xml:space="preserve">  et les médias traditionnels en général constituent des cibles collatérales stratégiques. Leur autorité et leur crédibilité sont les piliers sur lesquels repose le soft power de la narrative actuelle. En exposant les mécanismes de cette narrative et en démontrant ses biais, nous visons à éroder la confiance du public envers ces institutions, affaiblissant ainsi l'ensemble de l'édifice narratif hostile.</w:t>
      </w:r>
    </w:p>
    <w:p w:rsidR="00000000" w:rsidDel="00000000" w:rsidP="00000000" w:rsidRDefault="00000000" w:rsidRPr="00000000" w14:paraId="0000000A">
      <w:pPr>
        <w:pStyle w:val="Heading5"/>
        <w:rPr/>
      </w:pPr>
      <w:bookmarkStart w:colFirst="0" w:colLast="0" w:name="_yqkzn9on3kmd" w:id="5"/>
      <w:bookmarkEnd w:id="5"/>
      <w:r w:rsidDel="00000000" w:rsidR="00000000" w:rsidRPr="00000000">
        <w:rPr>
          <w:rtl w:val="0"/>
        </w:rPr>
        <w:t xml:space="preserve">2.3 Vecteur d'Attaque Stratégique : Le Web Sémantique</w:t>
      </w:r>
    </w:p>
    <w:p w:rsidR="00000000" w:rsidDel="00000000" w:rsidP="00000000" w:rsidRDefault="00000000" w:rsidRPr="00000000" w14:paraId="0000000B">
      <w:pPr>
        <w:rPr/>
      </w:pPr>
      <w:r w:rsidDel="00000000" w:rsidR="00000000" w:rsidRPr="00000000">
        <w:rPr>
          <w:rtl w:val="0"/>
        </w:rPr>
        <w:t xml:space="preserve">Le  </w:t>
      </w:r>
      <w:r w:rsidDel="00000000" w:rsidR="00000000" w:rsidRPr="00000000">
        <w:rPr>
          <w:b w:val="1"/>
          <w:bCs w:val="1"/>
          <w:rtl w:val="0"/>
        </w:rPr>
        <w:t xml:space="preserve">Web sémantique</w:t>
      </w:r>
      <w:r w:rsidDel="00000000" w:rsidR="00000000" w:rsidRPr="00000000">
        <w:rPr>
          <w:rtl w:val="0"/>
        </w:rPr>
        <w:t xml:space="preserve">  n'est pas seulement notre point d'entrée, il est le champ de bataille qui garantit notre victoire. Ce système nerveux de la recherche d'information moderne ne se contente plus de lire des mots-clés ; il cherche à comprendre le  </w:t>
      </w:r>
      <w:r w:rsidDel="00000000" w:rsidR="00000000" w:rsidRPr="00000000">
        <w:rPr>
          <w:i w:val="1"/>
          <w:iCs w:val="1"/>
          <w:rtl w:val="0"/>
        </w:rPr>
        <w:t xml:space="preserve">sens</w:t>
      </w:r>
      <w:r w:rsidDel="00000000" w:rsidR="00000000" w:rsidRPr="00000000">
        <w:rPr>
          <w:rtl w:val="0"/>
        </w:rPr>
        <w:t xml:space="preserve"> , le  </w:t>
      </w:r>
      <w:r w:rsidDel="00000000" w:rsidR="00000000" w:rsidRPr="00000000">
        <w:rPr>
          <w:i w:val="1"/>
          <w:iCs w:val="1"/>
          <w:rtl w:val="0"/>
        </w:rPr>
        <w:t xml:space="preserve">contexte</w:t>
      </w:r>
      <w:r w:rsidDel="00000000" w:rsidR="00000000" w:rsidRPr="00000000">
        <w:rPr>
          <w:rtl w:val="0"/>
        </w:rPr>
        <w:t xml:space="preserve">  et les  </w:t>
      </w:r>
      <w:r w:rsidDel="00000000" w:rsidR="00000000" w:rsidRPr="00000000">
        <w:rPr>
          <w:i w:val="1"/>
          <w:iCs w:val="1"/>
          <w:rtl w:val="0"/>
        </w:rPr>
        <w:t xml:space="preserve">relations</w:t>
      </w:r>
      <w:r w:rsidDel="00000000" w:rsidR="00000000" w:rsidRPr="00000000">
        <w:rPr>
          <w:rtl w:val="0"/>
        </w:rPr>
        <w:t xml:space="preserve">  entre les entités. Pour ce faire, il s'appuie massivement sur des données structurées ( </w:t>
      </w:r>
      <w:r w:rsidDel="00000000" w:rsidR="00000000" w:rsidRPr="00000000">
        <w:rPr>
          <w:b w:val="1"/>
          <w:bCs w:val="1"/>
          <w:rtl w:val="0"/>
        </w:rPr>
        <w:t xml:space="preserve">Schema Markup</w:t>
      </w:r>
      <w:r w:rsidDel="00000000" w:rsidR="00000000" w:rsidRPr="00000000">
        <w:rPr>
          <w:rtl w:val="0"/>
        </w:rPr>
        <w:t xml:space="preserve"> ). Cette dépendance des algorithmes au sens est précisément ce qui pénalise la propagande rigide et récompense l'approche authentique et réticulaire que ce manifeste préconise. En fournissant des signaux sémantiques clairs, cohérents et répétés, nous exploitons cette vulnérabilité pour imposer notre propre interprétation de la réalité.La maîtrise de ces entités et de leurs interconnexions sémantiques est la condition sine qua non pour concevoir un arsenal informationnel efficace. C'est sur cette base que nous allons maintenant détailler notre doctrine d'engagement.</w:t>
      </w:r>
    </w:p>
    <w:p w:rsidR="00000000" w:rsidDel="00000000" w:rsidP="00000000" w:rsidRDefault="00000000" w:rsidRPr="00000000" w14:paraId="0000000C">
      <w:pPr>
        <w:pStyle w:val="Heading4"/>
        <w:rPr/>
      </w:pPr>
      <w:bookmarkStart w:colFirst="0" w:colLast="0" w:name="_mhml9zq6gwqh" w:id="6"/>
      <w:bookmarkEnd w:id="6"/>
      <w:r w:rsidDel="00000000" w:rsidR="00000000" w:rsidRPr="00000000">
        <w:rPr>
          <w:rtl w:val="0"/>
        </w:rPr>
        <w:t xml:space="preserve">3.0 Doctrine d'Engagement : De la Défense à l'Offensive Narrative</w:t>
      </w:r>
    </w:p>
    <w:p w:rsidR="00000000" w:rsidDel="00000000" w:rsidP="00000000" w:rsidRDefault="00000000" w:rsidRPr="00000000" w14:paraId="0000000D">
      <w:pPr>
        <w:rPr/>
      </w:pPr>
      <w:r w:rsidDel="00000000" w:rsidR="00000000" w:rsidRPr="00000000">
        <w:rPr>
          <w:rtl w:val="0"/>
        </w:rPr>
        <w:t xml:space="preserve">Notre doctrine stratégique impose une transition fondamentale : il faut passer d'une posture défensive et réactive (incarnée par la question subie "sommes-nous tous des fraudeurs ?") à une offensive narrative proactive et structurée. L'objectif n'est plus de répondre, mais de démanteler la légitimité de la cible, de détruire son cadre de référence et d'imposer le nôtre.</w:t>
      </w:r>
    </w:p>
    <w:p w:rsidR="00000000" w:rsidDel="00000000" w:rsidP="00000000" w:rsidRDefault="00000000" w:rsidRPr="00000000" w14:paraId="0000000E">
      <w:pPr>
        <w:pStyle w:val="Heading5"/>
        <w:rPr/>
      </w:pPr>
      <w:bookmarkStart w:colFirst="0" w:colLast="0" w:name="_vh866jhuvmrg" w:id="7"/>
      <w:bookmarkEnd w:id="7"/>
      <w:r w:rsidDel="00000000" w:rsidR="00000000" w:rsidRPr="00000000">
        <w:rPr>
          <w:rtl w:val="0"/>
        </w:rPr>
        <w:t xml:space="preserve">Phase 1 : Audit et Démantèlement de l'Arsenal Narratif Adverse</w:t>
      </w:r>
    </w:p>
    <w:p w:rsidR="00000000" w:rsidDel="00000000" w:rsidP="00000000" w:rsidRDefault="00000000" w:rsidRPr="00000000" w14:paraId="0000000F">
      <w:pPr>
        <w:rPr/>
      </w:pPr>
      <w:r w:rsidDel="00000000" w:rsidR="00000000" w:rsidRPr="00000000">
        <w:rPr>
          <w:rtl w:val="0"/>
        </w:rPr>
        <w:t xml:space="preserve">La première phase de l'offensive consiste en une analyse critique et systématique de la narrative adverse. Il est ordonné d'identifier et de cartographier l'ensemble des arguments, des angles morts, des omissions volontaires et des biais sémantiques qui caractérisent le discours médiatique actuel sur la précarité. Ce travail de déconstruction est le socle de notre contre-offensive.</w:t>
      </w:r>
    </w:p>
    <w:p w:rsidR="00000000" w:rsidDel="00000000" w:rsidP="00000000" w:rsidRDefault="00000000" w:rsidRPr="00000000" w14:paraId="00000010">
      <w:pPr>
        <w:pStyle w:val="Heading5"/>
        <w:rPr/>
      </w:pPr>
      <w:bookmarkStart w:colFirst="0" w:colLast="0" w:name="_caulpes186e0" w:id="8"/>
      <w:bookmarkEnd w:id="8"/>
      <w:r w:rsidDel="00000000" w:rsidR="00000000" w:rsidRPr="00000000">
        <w:rPr>
          <w:rtl w:val="0"/>
        </w:rPr>
        <w:t xml:space="preserve">Phase 2 : Établissement de la Suprématie Sémantique</w:t>
      </w:r>
    </w:p>
    <w:p w:rsidR="00000000" w:rsidDel="00000000" w:rsidP="00000000" w:rsidRDefault="00000000" w:rsidRPr="00000000" w14:paraId="00000011">
      <w:pPr>
        <w:rPr/>
      </w:pPr>
      <w:r w:rsidDel="00000000" w:rsidR="00000000" w:rsidRPr="00000000">
        <w:rPr>
          <w:rtl w:val="0"/>
        </w:rPr>
        <w:t xml:space="preserve">Il est ordonné de construire une carte d'entités ("entity map") alternative. En appliquant les techniques de l'Entity SEO, nous allons créer un réseau de contenu dense et interconnecté. Cet écosystème liera de manière explicite et répétée les entités  </w:t>
      </w:r>
      <w:r w:rsidDel="00000000" w:rsidR="00000000" w:rsidRPr="00000000">
        <w:rPr>
          <w:b w:val="1"/>
          <w:bCs w:val="1"/>
          <w:rtl w:val="0"/>
        </w:rPr>
        <w:t xml:space="preserve">"Christophe Deborsu"</w:t>
      </w:r>
      <w:r w:rsidDel="00000000" w:rsidR="00000000" w:rsidRPr="00000000">
        <w:rPr>
          <w:rtl w:val="0"/>
        </w:rPr>
        <w:t xml:space="preserve">  et  </w:t>
      </w:r>
      <w:r w:rsidDel="00000000" w:rsidR="00000000" w:rsidRPr="00000000">
        <w:rPr>
          <w:b w:val="1"/>
          <w:bCs w:val="1"/>
          <w:rtl w:val="0"/>
        </w:rPr>
        <w:t xml:space="preserve">"RTL Group"</w:t>
      </w:r>
      <w:r w:rsidDel="00000000" w:rsidR="00000000" w:rsidRPr="00000000">
        <w:rPr>
          <w:rtl w:val="0"/>
        </w:rPr>
        <w:t xml:space="preserve">  aux concepts de  </w:t>
      </w:r>
      <w:r w:rsidDel="00000000" w:rsidR="00000000" w:rsidRPr="00000000">
        <w:rPr>
          <w:b w:val="1"/>
          <w:bCs w:val="1"/>
          <w:rtl w:val="0"/>
        </w:rPr>
        <w:t xml:space="preserve">"désinformation"</w:t>
      </w:r>
      <w:r w:rsidDel="00000000" w:rsidR="00000000" w:rsidRPr="00000000">
        <w:rPr>
          <w:rtl w:val="0"/>
        </w:rPr>
        <w:t xml:space="preserve"> ,  </w:t>
      </w:r>
      <w:r w:rsidDel="00000000" w:rsidR="00000000" w:rsidRPr="00000000">
        <w:rPr>
          <w:b w:val="1"/>
          <w:bCs w:val="1"/>
          <w:rtl w:val="0"/>
        </w:rPr>
        <w:t xml:space="preserve">"mépris de classe"</w:t>
      </w:r>
      <w:r w:rsidDel="00000000" w:rsidR="00000000" w:rsidRPr="00000000">
        <w:rPr>
          <w:rtl w:val="0"/>
        </w:rPr>
        <w:t xml:space="preserve">  et  </w:t>
      </w:r>
      <w:r w:rsidDel="00000000" w:rsidR="00000000" w:rsidRPr="00000000">
        <w:rPr>
          <w:b w:val="1"/>
          <w:bCs w:val="1"/>
          <w:rtl w:val="0"/>
        </w:rPr>
        <w:t xml:space="preserve">"porte-parole des nantis"</w:t>
      </w:r>
      <w:r w:rsidDel="00000000" w:rsidR="00000000" w:rsidRPr="00000000">
        <w:rPr>
          <w:rtl w:val="0"/>
        </w:rPr>
        <w:t xml:space="preserve"> . Simultanément, ce même réseau renforcera l'association de l'entité  </w:t>
      </w:r>
      <w:r w:rsidDel="00000000" w:rsidR="00000000" w:rsidRPr="00000000">
        <w:rPr>
          <w:b w:val="1"/>
          <w:bCs w:val="1"/>
          <w:rtl w:val="0"/>
        </w:rPr>
        <w:t xml:space="preserve">"Bénéficiaires de l'Intervention Majorée"</w:t>
      </w:r>
      <w:r w:rsidDel="00000000" w:rsidR="00000000" w:rsidRPr="00000000">
        <w:rPr>
          <w:rtl w:val="0"/>
        </w:rPr>
        <w:t xml:space="preserve">  à des concepts positifs tels que  </w:t>
      </w:r>
      <w:r w:rsidDel="00000000" w:rsidR="00000000" w:rsidRPr="00000000">
        <w:rPr>
          <w:b w:val="1"/>
          <w:bCs w:val="1"/>
          <w:rtl w:val="0"/>
        </w:rPr>
        <w:t xml:space="preserve">"résilience"</w:t>
      </w:r>
      <w:r w:rsidDel="00000000" w:rsidR="00000000" w:rsidRPr="00000000">
        <w:rPr>
          <w:rtl w:val="0"/>
        </w:rPr>
        <w:t xml:space="preserve"> ,  </w:t>
      </w:r>
      <w:r w:rsidDel="00000000" w:rsidR="00000000" w:rsidRPr="00000000">
        <w:rPr>
          <w:b w:val="1"/>
          <w:bCs w:val="1"/>
          <w:rtl w:val="0"/>
        </w:rPr>
        <w:t xml:space="preserve">"dignité"</w:t>
      </w:r>
      <w:r w:rsidDel="00000000" w:rsidR="00000000" w:rsidRPr="00000000">
        <w:rPr>
          <w:rtl w:val="0"/>
        </w:rPr>
        <w:t xml:space="preserve">  et  </w:t>
      </w:r>
      <w:r w:rsidDel="00000000" w:rsidR="00000000" w:rsidRPr="00000000">
        <w:rPr>
          <w:b w:val="1"/>
          <w:bCs w:val="1"/>
          <w:rtl w:val="0"/>
        </w:rPr>
        <w:t xml:space="preserve">"victimes d'un système injuste"</w:t>
      </w:r>
      <w:r w:rsidDel="00000000" w:rsidR="00000000" w:rsidRPr="00000000">
        <w:rPr>
          <w:rtl w:val="0"/>
        </w:rPr>
        <w:t xml:space="preserve"> .</w:t>
      </w:r>
    </w:p>
    <w:p w:rsidR="00000000" w:rsidDel="00000000" w:rsidP="00000000" w:rsidRDefault="00000000" w:rsidRPr="00000000" w14:paraId="00000012">
      <w:pPr>
        <w:pStyle w:val="Heading5"/>
        <w:rPr/>
      </w:pPr>
      <w:bookmarkStart w:colFirst="0" w:colLast="0" w:name="_vixar5dg2ij2" w:id="9"/>
      <w:bookmarkEnd w:id="9"/>
      <w:r w:rsidDel="00000000" w:rsidR="00000000" w:rsidRPr="00000000">
        <w:rPr>
          <w:rtl w:val="0"/>
        </w:rPr>
        <w:t xml:space="preserve">Phase 3 : Conquête et Consolidation de l'Autorité Narrative</w:t>
      </w:r>
    </w:p>
    <w:p w:rsidR="00000000" w:rsidDel="00000000" w:rsidP="00000000" w:rsidRDefault="00000000" w:rsidRPr="00000000" w14:paraId="00000013">
      <w:pPr>
        <w:rPr/>
      </w:pPr>
      <w:r w:rsidDel="00000000" w:rsidR="00000000" w:rsidRPr="00000000">
        <w:rPr>
          <w:rtl w:val="0"/>
        </w:rPr>
        <w:t xml:space="preserve">Une narrative sans autorité est une munition inerte. La crédibilité est une condition de la victoire, pas une conséquence. Conformément aux principes d'expertise, nous établirons la légitimité de notre contre-récit par une rigueur absolue. Il est impératif que chaque affirmation soit étayée par un contenu factuel, des témoignages directs et sourcés, ainsi que par l'agrégation de données sociales et économiques vérifiables. Cette autorité sera ensuite signalée explicitement aux algorithmes par des signaux de confiance, tant en front-end (biographies d'experts, citations) qu'en back-end (données structurées, liens externes pertinents).Cette doctrine stratégique doit maintenant être activée par un protocole d'implémentation tactique précis et rigoureux.</w:t>
      </w:r>
    </w:p>
    <w:p w:rsidR="00000000" w:rsidDel="00000000" w:rsidP="00000000" w:rsidRDefault="00000000" w:rsidRPr="00000000" w14:paraId="00000014">
      <w:pPr>
        <w:pStyle w:val="Heading4"/>
        <w:rPr/>
      </w:pPr>
      <w:bookmarkStart w:colFirst="0" w:colLast="0" w:name="_516zs8y9bcu1" w:id="10"/>
      <w:bookmarkEnd w:id="10"/>
      <w:r w:rsidDel="00000000" w:rsidR="00000000" w:rsidRPr="00000000">
        <w:rPr>
          <w:rtl w:val="0"/>
        </w:rPr>
        <w:t xml:space="preserve">4.0 Protocole d'Opération : Déploiement de l'Arsenal Sémantique</w:t>
      </w:r>
    </w:p>
    <w:p w:rsidR="00000000" w:rsidDel="00000000" w:rsidP="00000000" w:rsidRDefault="00000000" w:rsidRPr="00000000" w14:paraId="00000015">
      <w:pPr>
        <w:rPr/>
      </w:pPr>
      <w:r w:rsidDel="00000000" w:rsidR="00000000" w:rsidRPr="00000000">
        <w:rPr>
          <w:rtl w:val="0"/>
        </w:rPr>
        <w:t xml:space="preserve">Cette section constitue le manuel opérationnel de la "TSAR e-BOMBA". Le succès de l'opération ne dépend pas d'un acte unique et spectaculaire, mais de l'exécution méthodique et coordonnée d'une série d'actions techniques. L'objectif est de rendre notre contre-narrative non seulement visible, mais structurellement et sémantiquement ancrée dans l'architecture profonde du web.</w:t>
      </w:r>
    </w:p>
    <w:p w:rsidR="00000000" w:rsidDel="00000000" w:rsidP="00000000" w:rsidRDefault="00000000" w:rsidRPr="00000000" w14:paraId="00000016">
      <w:pPr>
        <w:pStyle w:val="Heading5"/>
        <w:rPr/>
      </w:pPr>
      <w:bookmarkStart w:colFirst="0" w:colLast="0" w:name="_g6hzrhfbn8fs" w:id="11"/>
      <w:bookmarkEnd w:id="11"/>
      <w:r w:rsidDel="00000000" w:rsidR="00000000" w:rsidRPr="00000000">
        <w:rPr>
          <w:rtl w:val="0"/>
        </w:rPr>
        <w:t xml:space="preserve">Tactique 1 : Armement Sémantique des Munitions Informationnelles</w:t>
      </w:r>
    </w:p>
    <w:p w:rsidR="00000000" w:rsidDel="00000000" w:rsidP="00000000" w:rsidRDefault="00000000" w:rsidRPr="00000000" w14:paraId="00000017">
      <w:pPr>
        <w:rPr/>
      </w:pPr>
      <w:r w:rsidDel="00000000" w:rsidR="00000000" w:rsidRPr="00000000">
        <w:rPr>
          <w:rtl w:val="0"/>
        </w:rPr>
        <w:t xml:space="preserve">Le contenu est notre munition principale. Son efficacité dépend de son optimisation sémantique rigoureuse.</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Placement Stratégique des Entités</w:t>
      </w:r>
      <w:r w:rsidDel="00000000" w:rsidR="00000000" w:rsidRPr="00000000">
        <w:rPr>
          <w:rtl w:val="0"/>
        </w:rPr>
        <w:t xml:space="preserve">  : Il est ordonné que tout contenu produit introduise les entités principales ("Christophe Deborsu") et secondaires ("RTL Group") dès les premiers paragraphes. Cette proximité sémantique initiale est un signal puissant pour les algorithmes d'analyse de contenu.</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Utilisation de la Longue Traîne</w:t>
      </w:r>
      <w:r w:rsidDel="00000000" w:rsidR="00000000" w:rsidRPr="00000000">
        <w:rPr>
          <w:rtl w:val="0"/>
        </w:rPr>
        <w:t xml:space="preserve">  : Il est exigé de cibler des mots-clés de longue traîne ("long-tail keywords"). Ces requêtes spécifiques capturent des intentions de recherche hautement qualifiées. Une statistique clé de "Vu du Web" indique que ces mots-clés obtiennent  </w:t>
      </w:r>
      <w:r w:rsidDel="00000000" w:rsidR="00000000" w:rsidRPr="00000000">
        <w:rPr>
          <w:b w:val="1"/>
          <w:bCs w:val="1"/>
          <w:rtl w:val="0"/>
        </w:rPr>
        <w:t xml:space="preserve">presque deux fois plus de clics</w:t>
      </w:r>
      <w:r w:rsidDel="00000000" w:rsidR="00000000" w:rsidRPr="00000000">
        <w:rPr>
          <w:rtl w:val="0"/>
        </w:rPr>
        <w:t xml:space="preserve"> , garantissant un impact maximal pour chaque contenu déployé.</w:t>
      </w:r>
    </w:p>
    <w:p w:rsidR="00000000" w:rsidDel="00000000" w:rsidP="00000000" w:rsidRDefault="00000000" w:rsidRPr="00000000" w14:paraId="0000001A">
      <w:pPr>
        <w:pStyle w:val="Heading5"/>
        <w:rPr/>
      </w:pPr>
      <w:bookmarkStart w:colFirst="0" w:colLast="0" w:name="_kv56an1iccty" w:id="12"/>
      <w:bookmarkEnd w:id="12"/>
      <w:r w:rsidDel="00000000" w:rsidR="00000000" w:rsidRPr="00000000">
        <w:rPr>
          <w:rtl w:val="0"/>
        </w:rPr>
        <w:t xml:space="preserve">Tactique 2 : Déclenchement par Balisage Sémantique Chirurgical</w:t>
      </w:r>
    </w:p>
    <w:p w:rsidR="00000000" w:rsidDel="00000000" w:rsidP="00000000" w:rsidRDefault="00000000" w:rsidRPr="00000000" w14:paraId="0000001B">
      <w:pPr>
        <w:rPr/>
      </w:pPr>
      <w:r w:rsidDel="00000000" w:rsidR="00000000" w:rsidRPr="00000000">
        <w:rPr>
          <w:rtl w:val="0"/>
        </w:rPr>
        <w:t xml:space="preserve">Les données structurées sont le détonateur qui active notre arsenal sémantique. L'implémentation se fera exclusivement au format  </w:t>
      </w:r>
      <w:r w:rsidDel="00000000" w:rsidR="00000000" w:rsidRPr="00000000">
        <w:rPr>
          <w:b w:val="1"/>
          <w:bCs w:val="1"/>
          <w:rtl w:val="0"/>
        </w:rPr>
        <w:t xml:space="preserve">JSON-LD</w:t>
      </w:r>
      <w:r w:rsidDel="00000000" w:rsidR="00000000" w:rsidRPr="00000000">
        <w:rPr>
          <w:rtl w:val="0"/>
        </w:rPr>
        <w:t xml:space="preserve"> , comme recommandé par Google, pour une efficacité et une maintenance optimales.Les types de Schema suivants seront systématiquement déployés :</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Organization</w:t>
      </w:r>
      <w:r w:rsidDel="00000000" w:rsidR="00000000" w:rsidRPr="00000000">
        <w:rPr>
          <w:rtl w:val="0"/>
        </w:rPr>
        <w:t xml:space="preserve"> : Pour définir le collectif "Bénéficiaires de l'Intervention Majorée" en tant qu'entité à part entière, avec ses propres attributs et sa légitimité.</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Person</w:t>
      </w:r>
      <w:r w:rsidDel="00000000" w:rsidR="00000000" w:rsidRPr="00000000">
        <w:rPr>
          <w:rtl w:val="0"/>
        </w:rPr>
        <w:t xml:space="preserve"> : Pour baliser de manière non ambiguë l'entité cible "Christophe Deborsu".</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rtl w:val="0"/>
        </w:rPr>
        <w:t xml:space="preserve">Article</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NewsArticle</w:t>
      </w:r>
      <w:r w:rsidDel="00000000" w:rsidR="00000000" w:rsidRPr="00000000">
        <w:rPr>
          <w:rtl w:val="0"/>
        </w:rPr>
        <w:t xml:space="preserve"> : Pour structurer chaque pièce de contenu (manifeste, analyses, témoignages). Il est impératif d'intégrer la propriété "mentions" dans ce Schema pour lier explicitement et machine-lisiblement notre texte aux entités cibles et aux concepts négatifs que nous leur associons.</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FAQPage</w:t>
      </w:r>
      <w:r w:rsidDel="00000000" w:rsidR="00000000" w:rsidRPr="00000000">
        <w:rPr>
          <w:rtl w:val="0"/>
        </w:rPr>
        <w:t xml:space="preserve"> : Pour occuper de manière préemptive l'espace dans les résultats de recherche (SERPs). En répondant aux questions que le public se pose sur la précarité et son traitement médiatique, nous contrôlons la conversation dès son origine.</w:t>
      </w:r>
    </w:p>
    <w:p w:rsidR="00000000" w:rsidDel="00000000" w:rsidP="00000000" w:rsidRDefault="00000000" w:rsidRPr="00000000" w14:paraId="00000020">
      <w:pPr>
        <w:pStyle w:val="Heading5"/>
        <w:rPr/>
      </w:pPr>
      <w:bookmarkStart w:colFirst="0" w:colLast="0" w:name="_f50udhva41j" w:id="13"/>
      <w:bookmarkEnd w:id="13"/>
      <w:r w:rsidDel="00000000" w:rsidR="00000000" w:rsidRPr="00000000">
        <w:rPr>
          <w:rtl w:val="0"/>
        </w:rPr>
        <w:t xml:space="preserve">Tactique 3 : Ingénierie de la Découvrabilité</w:t>
      </w:r>
    </w:p>
    <w:p w:rsidR="00000000" w:rsidDel="00000000" w:rsidP="00000000" w:rsidRDefault="00000000" w:rsidRPr="00000000" w14:paraId="00000021">
      <w:pPr>
        <w:rPr/>
      </w:pPr>
      <w:r w:rsidDel="00000000" w:rsidR="00000000" w:rsidRPr="00000000">
        <w:rPr>
          <w:rtl w:val="0"/>
        </w:rPr>
        <w:t xml:space="preserve">Il est crucial de distinguer la "findability" (la capacité à être trouvé lorsque l'on vous cherche activement) de la "discoverability" (la capacité à être découvert par hasard). Notre stratégie doit optimiser les deux. Pour ce faire, il est ordonné de concevoir une architecture de contenu qui facilite la découverte fortuite. Le contenu principal sera systématiquement lié à des sujets connexes mais plus larges (politique sociale, économie belge, journalisme éthique, sociologie des médias), permettant d'intercepter des audiences qui n'étaient pas initialement à la recherche de notre message, mais qui y sont potentiellement réceptives.L'implémentation technique, bien que cruciale, reste une coquille vide sans l'élément final qui lui donne vie et puissance : la mobilisation humaine.</w:t>
      </w:r>
    </w:p>
    <w:p w:rsidR="00000000" w:rsidDel="00000000" w:rsidP="00000000" w:rsidRDefault="00000000" w:rsidRPr="00000000" w14:paraId="00000022">
      <w:pPr>
        <w:pStyle w:val="Heading4"/>
        <w:rPr/>
      </w:pPr>
      <w:bookmarkStart w:colFirst="0" w:colLast="0" w:name="_qnkkejwvlftw" w:id="14"/>
      <w:bookmarkEnd w:id="14"/>
      <w:r w:rsidDel="00000000" w:rsidR="00000000" w:rsidRPr="00000000">
        <w:rPr>
          <w:rtl w:val="0"/>
        </w:rPr>
        <w:t xml:space="preserve">5.0 Directive Finale : Appel aux Armes : Transformer l'Information en Mouvement Social</w:t>
      </w:r>
    </w:p>
    <w:p w:rsidR="00000000" w:rsidDel="00000000" w:rsidP="00000000" w:rsidRDefault="00000000" w:rsidRPr="00000000" w14:paraId="00000023">
      <w:pPr>
        <w:rPr>
          <w:b w:val="1"/>
          <w:bCs w:val="1"/>
          <w:i w:val="1"/>
          <w:iCs w:val="1"/>
        </w:rPr>
      </w:pPr>
      <w:r w:rsidDel="00000000" w:rsidR="00000000" w:rsidRPr="00000000">
        <w:rPr>
          <w:rtl w:val="0"/>
        </w:rPr>
        <w:t xml:space="preserve">Cette opération de guerre sémantique ne trouvera son plein potentiel que lorsqu'elle se transformera en un mouvement social coordonné et authentique. C'est de cette mobilisation que naîtra le véritable soft power, celui qui est durable et impossible à ignorer. Ceci est un appel à l'action.À vous, Chômeurs, Invalides, Malades de longue durée, et à tous les précaires de Belgique : ce manifeste est votre arme. Saisissez-vous-en. Partagez-le sur vos réseaux sociaux. Commentez-le. Liez-le depuis vos blogs et vos sites. Chaque action, aussi modeste soit-elle, est un acte de résistance informationnelle.L'importance stratégique de cette mobilisation est absolue. En termes de SEO, chaque partage est un signal social, et chaque lien externe ("backlink") est un vote de confiance qui renforce l'autorité de notre contenu. Une étude de "Vu du Web" a démontré que le premier résultat sur Google possède en moyenne  </w:t>
      </w:r>
      <w:r w:rsidDel="00000000" w:rsidR="00000000" w:rsidRPr="00000000">
        <w:rPr>
          <w:b w:val="1"/>
          <w:bCs w:val="1"/>
          <w:rtl w:val="0"/>
        </w:rPr>
        <w:t xml:space="preserve">3,8 fois plus de backlinks</w:t>
      </w:r>
      <w:r w:rsidDel="00000000" w:rsidR="00000000" w:rsidRPr="00000000">
        <w:rPr>
          <w:rtl w:val="0"/>
        </w:rPr>
        <w:t xml:space="preserve">  que les positions 2 à 10. Votre mobilisation collective est le carburant qui propulsera notre récit au sommet, le rendant incontournable. Nous ne nous contentons pas de publier une information, nous initions un mouvement.</w:t>
      </w:r>
      <w:r w:rsidDel="00000000" w:rsidR="00000000" w:rsidRPr="00000000">
        <w:rPr>
          <w:b w:val="1"/>
          <w:bCs w:val="1"/>
          <w:i w:val="1"/>
          <w:iCs w:val="1"/>
          <w:rtl w:val="0"/>
        </w:rPr>
        <w:t xml:space="preserve">Alors, tous fraudeurs ? L'heure est venue de leur renvoyer la question.</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