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PROPOSITION STRATÉGIQUE</w:t>
      </w:r>
    </w:p>
    <w:p>
      <w:pPr>
        <w:spacing w:after="400"/>
        <w:jc w:val="center"/>
      </w:pPr>
      <w:r>
        <w:rPr>
          <w:color w:val="3d5a80"/>
          <w:sz w:val="36"/>
          <w:szCs w:val="36"/>
        </w:rPr>
        <w:t xml:space="preserve">Création d'une Réserve de Recrutement Sectorielle</w:t>
      </w:r>
    </w:p>
    <w:p>
      <w:pPr>
        <w:spacing w:after="200"/>
        <w:jc w:val="center"/>
      </w:pPr>
      <w:r>
        <w:rPr>
          <w:color w:val="666666"/>
          <w:sz w:val="28"/>
          <w:szCs w:val="28"/>
        </w:rPr>
        <w:t xml:space="preserve">pour la Sous-Commission Paritaire 329.02</w:t>
      </w:r>
    </w:p>
    <w:p>
      <w:pPr>
        <w:spacing w:before="600" w:after="200"/>
        <w:jc w:val="center"/>
      </w:pPr>
      <w:r>
        <w:rPr>
          <w:i/>
          <w:iCs/>
          <w:sz w:val="24"/>
          <w:szCs w:val="24"/>
        </w:rPr>
        <w:t xml:space="preserve">Secteur socioculturel francophone et germanophone</w:t>
      </w:r>
    </w:p>
    <w:p>
      <w:pPr>
        <w:spacing w:before="1500"/>
      </w:pPr>
    </w:p>
    <w:p>
      <w:pPr>
        <w:jc w:val="center"/>
      </w:pPr>
      <w:r>
        <w:rPr>
          <w:b/>
          <w:bCs/>
          <w:sz w:val="24"/>
          <w:szCs w:val="24"/>
        </w:rPr>
        <w:t xml:space="preserve">À l'attention de :</w:t>
      </w:r>
    </w:p>
    <w:p>
      <w:pPr>
        <w:spacing w:after="100"/>
        <w:jc w:val="center"/>
      </w:pPr>
      <w:r>
        <w:rPr>
          <w:sz w:val="22"/>
          <w:szCs w:val="22"/>
        </w:rPr>
        <w:t xml:space="preserve">FESEFA — Fédération des Employeurs des Secteurs de l'Éducation permanente et de la Formation des Adultes</w:t>
      </w:r>
    </w:p>
    <w:p>
      <w:pPr>
        <w:spacing w:after="100"/>
        <w:jc w:val="center"/>
      </w:pPr>
      <w:r>
        <w:rPr>
          <w:sz w:val="22"/>
          <w:szCs w:val="22"/>
        </w:rPr>
        <w:t xml:space="preserve">CESSoC — Confédération des Employeurs du Secteur Sportif et SocioCulturel</w:t>
      </w:r>
    </w:p>
    <w:p>
      <w:pPr>
        <w:jc w:val="center"/>
      </w:pPr>
      <w:r>
        <w:rPr>
          <w:sz w:val="22"/>
          <w:szCs w:val="22"/>
        </w:rPr>
        <w:t xml:space="preserve">Fonds Maribel Social 329.02 • Fonds 4S • APEF</w:t>
      </w:r>
    </w:p>
    <w:p>
      <w:pPr>
        <w:spacing w:before="1500"/>
      </w:pPr>
    </w:p>
    <w:p>
      <w:pPr>
        <w:jc w:val="center"/>
      </w:pPr>
      <w:r>
        <w:rPr>
          <w:b/>
          <w:bCs/>
          <w:color w:val="1a365d"/>
          <w:sz w:val="24"/>
          <w:szCs w:val="24"/>
        </w:rPr>
        <w:t xml:space="preserve">Janvier 2026</w:t>
      </w:r>
    </w:p>
    <w:p>
      <w:r>
        <w:br/>
      </w:r>
    </w:p>
    <w:p>
      <w:pPr>
        <w:pStyle w:val="Heading1"/>
      </w:pPr>
      <w:r>
        <w:t xml:space="preserve">1. Synthèse exécutive</w:t>
      </w:r>
    </w:p>
    <w:p>
      <w:pPr>
        <w:spacing w:after="200"/>
      </w:pPr>
      <w:r>
        <w:rPr>
          <w:b/>
          <w:bCs/>
        </w:rPr>
        <w:t xml:space="preserve">Contexte : </w:t>
      </w:r>
      <w:r>
        <w:t xml:space="preserve">Le secteur socioculturel francophone (CP 329.02), représentant plus de 4 500 associations et 7 000+ ETP, fait face à des défis structurels majeurs : difficultés de recrutement, rotation du personnel, menaces budgétaires du gouvernement Arizona, et complexité administrative. La FESEFA, plus grande fédération du secteur avec 417 membres, joue un rôle central mais ne dispose pas d'un service de recrutement mutualisé.</w:t>
      </w:r>
    </w:p>
    <w:p>
      <w:pPr>
        <w:spacing w:after="200"/>
      </w:pPr>
      <w:r>
        <w:rPr>
          <w:b/>
          <w:bCs/>
        </w:rPr>
        <w:t xml:space="preserve">Proposition : </w:t>
      </w:r>
      <w:r>
        <w:t xml:space="preserve">Créer une Réserve de Recrutement Sectorielle — un service mutualisé permettant aux associations de la CP 329.02 d'accéder à un vivier de candidats qualifiés, présélectionnés et formés aux spécificités du secteur (éducation permanente, ISP, intégration).</w:t>
      </w:r>
    </w:p>
    <w:p>
      <w:pPr>
        <w:spacing w:after="200"/>
      </w:pPr>
      <w:r>
        <w:rPr>
          <w:b/>
          <w:bCs/>
        </w:rPr>
        <w:t xml:space="preserve">Valeur ajoutée : </w:t>
      </w:r>
      <w:r>
        <w:t xml:space="preserve">Ce projet s'inscrit dans la mission historique de la FESEFA (défense et soutien des associations) tout en générant une activité économiquement viable pour son porteur. Il répond à un besoin non couvert par les plateformes existantes (Alterjob, Le Forem) qui ne proposent pas d'accompagnement sectoriel spécialisé.</w:t>
      </w:r>
    </w:p>
    <w:p>
      <w:pPr>
        <w:spacing w:after="200"/>
      </w:pPr>
      <w:r>
        <w:rPr>
          <w:b/>
          <w:bCs/>
        </w:rPr>
        <w:t xml:space="preserve">Synergie POLiT!KA : </w:t>
      </w:r>
      <w:r>
        <w:t xml:space="preserve">Les modules d'éducation civique gamifiés développés dans le projet POLiT!KA peuvent être intégrés comme outil de formation et d'évaluation des candidats, créant une synergie naturelle avec la mission d'éducation permanente du secteur.</w:t>
      </w:r>
    </w:p>
    <w:p>
      <w:pPr>
        <w:pStyle w:val="Heading1"/>
      </w:pPr>
      <w:r>
        <w:t xml:space="preserve">2. Cartographie de l'écosystème</w:t>
      </w:r>
    </w:p>
    <w:p>
      <w:pPr>
        <w:pStyle w:val="Heading2"/>
      </w:pPr>
      <w:r>
        <w:t xml:space="preserve">2.1 Structure institutionnelle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Entité</w:t>
            </w:r>
          </w:p>
        </w:tc>
        <w:tc>
          <w:tcPr>
            <w:tcW w:type="dxa" w:w="58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Rôle et données clés</w:t>
            </w:r>
          </w:p>
        </w:tc>
      </w:tr>
      <w:tr>
        <w:tc>
          <w:tcPr>
            <w:tcW w:type="dxa" w:w="3500"/>
            <w:tcBorders>
              <w:top w:val="single" w:color="CCCCCC" w:sz="1"/>
              <w:left w:val="single" w:color="CCCCCC" w:sz="1"/>
              <w:bottom w:val="single" w:color="CCCCCC" w:sz="1"/>
              <w:right w:val="single" w:color="CCCCCC" w:sz="1"/>
            </w:tcBorders>
          </w:tcPr>
          <w:p>
            <w:r>
              <w:rPr>
                <w:b/>
                <w:bCs/>
              </w:rPr>
              <w:t xml:space="preserve">FESEFA</w:t>
            </w:r>
          </w:p>
        </w:tc>
        <w:tc>
          <w:tcPr>
            <w:tcW w:type="dxa" w:w="5860"/>
            <w:tcBorders>
              <w:top w:val="single" w:color="CCCCCC" w:sz="1"/>
              <w:left w:val="single" w:color="CCCCCC" w:sz="1"/>
              <w:bottom w:val="single" w:color="CCCCCC" w:sz="1"/>
              <w:right w:val="single" w:color="CCCCCC" w:sz="1"/>
            </w:tcBorders>
          </w:tcPr>
          <w:p>
            <w:r>
              <w:t xml:space="preserve">Fédération d'employeurs la plus importante du secteur socioculturel</w:t>
            </w:r>
          </w:p>
          <w:p>
            <w:r>
              <w:rPr>
                <w:sz w:val="20"/>
                <w:szCs w:val="20"/>
              </w:rPr>
              <w:t xml:space="preserve">• 417 associations affiliées</w:t>
            </w:r>
          </w:p>
          <w:p>
            <w:r>
              <w:rPr>
                <w:sz w:val="20"/>
                <w:szCs w:val="20"/>
              </w:rPr>
              <w:t xml:space="preserve">• 7 000+ ETP représentés</w:t>
            </w:r>
          </w:p>
          <w:p>
            <w:r>
              <w:rPr>
                <w:sz w:val="20"/>
                <w:szCs w:val="20"/>
              </w:rPr>
              <w:t xml:space="preserve">• 7 voix à la CESSoC (plus importante fédération)</w:t>
            </w:r>
          </w:p>
          <w:p>
            <w:r>
              <w:rPr>
                <w:sz w:val="20"/>
                <w:szCs w:val="20"/>
              </w:rPr>
              <w:t xml:space="preserve">• 198/280 associations EP reconnues affiliées</w:t>
            </w:r>
          </w:p>
          <w:p>
            <w:r>
              <w:rPr>
                <w:i/>
                <w:iCs/>
                <w:sz w:val="20"/>
                <w:szCs w:val="20"/>
              </w:rPr>
              <w:t xml:space="preserve">Direction : Farah Ismaïli (aussi présidente Fonds Maribel 329.02)</w:t>
            </w:r>
          </w:p>
        </w:tc>
      </w:tr>
      <w:tr>
        <w:tc>
          <w:tcPr>
            <w:tcW w:type="dxa" w:w="3500"/>
            <w:tcBorders>
              <w:top w:val="single" w:color="CCCCCC" w:sz="1"/>
              <w:left w:val="single" w:color="CCCCCC" w:sz="1"/>
              <w:bottom w:val="single" w:color="CCCCCC" w:sz="1"/>
              <w:right w:val="single" w:color="CCCCCC" w:sz="1"/>
            </w:tcBorders>
          </w:tcPr>
          <w:p>
            <w:r>
              <w:rPr>
                <w:b/>
                <w:bCs/>
              </w:rPr>
              <w:t xml:space="preserve">CESSoC</w:t>
            </w:r>
          </w:p>
        </w:tc>
        <w:tc>
          <w:tcPr>
            <w:tcW w:type="dxa" w:w="5860"/>
            <w:tcBorders>
              <w:top w:val="single" w:color="CCCCCC" w:sz="1"/>
              <w:left w:val="single" w:color="CCCCCC" w:sz="1"/>
              <w:bottom w:val="single" w:color="CCCCCC" w:sz="1"/>
              <w:right w:val="single" w:color="CCCCCC" w:sz="1"/>
            </w:tcBorders>
          </w:tcPr>
          <w:p>
            <w:r>
              <w:t xml:space="preserve">Confédération patronale — seule organisation représentative CP 329</w:t>
            </w:r>
          </w:p>
          <w:p>
            <w:r>
              <w:rPr>
                <w:sz w:val="20"/>
                <w:szCs w:val="20"/>
              </w:rPr>
              <w:t xml:space="preserve">• 16 fédérations membres</w:t>
            </w:r>
          </w:p>
          <w:p>
            <w:r>
              <w:rPr>
                <w:sz w:val="20"/>
                <w:szCs w:val="20"/>
              </w:rPr>
              <w:t xml:space="preserve">• Siège en CP 329, SCP 329.02 et 329.03</w:t>
            </w:r>
          </w:p>
          <w:p>
            <w:r>
              <w:rPr>
                <w:sz w:val="20"/>
                <w:szCs w:val="20"/>
              </w:rPr>
              <w:t xml:space="preserve">• Négociation CCT et accords non-marchand</w:t>
            </w:r>
          </w:p>
        </w:tc>
      </w:tr>
      <w:tr>
        <w:tc>
          <w:tcPr>
            <w:tcW w:type="dxa" w:w="3500"/>
            <w:tcBorders>
              <w:top w:val="single" w:color="CCCCCC" w:sz="1"/>
              <w:left w:val="single" w:color="CCCCCC" w:sz="1"/>
              <w:bottom w:val="single" w:color="CCCCCC" w:sz="1"/>
              <w:right w:val="single" w:color="CCCCCC" w:sz="1"/>
            </w:tcBorders>
          </w:tcPr>
          <w:p>
            <w:r>
              <w:rPr>
                <w:b/>
                <w:bCs/>
              </w:rPr>
              <w:t xml:space="preserve">SCP 329.02</w:t>
            </w:r>
          </w:p>
        </w:tc>
        <w:tc>
          <w:tcPr>
            <w:tcW w:type="dxa" w:w="5860"/>
            <w:tcBorders>
              <w:top w:val="single" w:color="CCCCCC" w:sz="1"/>
              <w:left w:val="single" w:color="CCCCCC" w:sz="1"/>
              <w:bottom w:val="single" w:color="CCCCCC" w:sz="1"/>
              <w:right w:val="single" w:color="CCCCCC" w:sz="1"/>
            </w:tcBorders>
          </w:tcPr>
          <w:p>
            <w:r>
              <w:t xml:space="preserve">Sous-commission paritaire socioculturel FWB + Ostbelgien</w:t>
            </w:r>
          </w:p>
          <w:p>
            <w:r>
              <w:rPr>
                <w:sz w:val="20"/>
                <w:szCs w:val="20"/>
              </w:rPr>
              <w:t xml:space="preserve">• Compétente : Wallonie + Bruxelles francophone + Germanophone</w:t>
            </w:r>
          </w:p>
          <w:p>
            <w:r>
              <w:rPr>
                <w:sz w:val="20"/>
                <w:szCs w:val="20"/>
              </w:rPr>
              <w:t xml:space="preserve">• ~4 500 associations ASBL</w:t>
            </w:r>
          </w:p>
          <w:p>
            <w:r>
              <w:rPr>
                <w:sz w:val="20"/>
                <w:szCs w:val="20"/>
              </w:rPr>
              <w:t xml:space="preserve">• Indice ONSS : 362</w:t>
            </w:r>
          </w:p>
        </w:tc>
      </w:tr>
      <w:tr>
        <w:tc>
          <w:tcPr>
            <w:tcW w:type="dxa" w:w="3500"/>
            <w:tcBorders>
              <w:top w:val="single" w:color="CCCCCC" w:sz="1"/>
              <w:left w:val="single" w:color="CCCCCC" w:sz="1"/>
              <w:bottom w:val="single" w:color="CCCCCC" w:sz="1"/>
              <w:right w:val="single" w:color="CCCCCC" w:sz="1"/>
            </w:tcBorders>
          </w:tcPr>
          <w:p>
            <w:r>
              <w:rPr>
                <w:b/>
                <w:bCs/>
              </w:rPr>
              <w:t xml:space="preserve">Fonds Maribel 329.02</w:t>
            </w:r>
          </w:p>
        </w:tc>
        <w:tc>
          <w:tcPr>
            <w:tcW w:type="dxa" w:w="5860"/>
            <w:tcBorders>
              <w:top w:val="single" w:color="CCCCCC" w:sz="1"/>
              <w:left w:val="single" w:color="CCCCCC" w:sz="1"/>
              <w:bottom w:val="single" w:color="CCCCCC" w:sz="1"/>
              <w:right w:val="single" w:color="CCCCCC" w:sz="1"/>
            </w:tcBorders>
          </w:tcPr>
          <w:p>
            <w:r>
              <w:t xml:space="preserve">Fonds paritaire création d'emplois</w:t>
            </w:r>
          </w:p>
          <w:p>
            <w:r>
              <w:rPr>
                <w:sz w:val="20"/>
                <w:szCs w:val="20"/>
              </w:rPr>
              <w:t xml:space="preserve">• 360 mi-temps créés en 2024</w:t>
            </w:r>
          </w:p>
          <w:p>
            <w:r>
              <w:rPr>
                <w:sz w:val="20"/>
                <w:szCs w:val="20"/>
              </w:rPr>
              <w:t xml:space="preserve">• Plafond : 50 850€/ETP/an</w:t>
            </w:r>
          </w:p>
          <w:p>
            <w:r>
              <w:rPr>
                <w:sz w:val="20"/>
                <w:szCs w:val="20"/>
              </w:rPr>
              <w:t xml:space="preserve">• Présidente : Farah Ismaïli (FESEFA)</w:t>
            </w:r>
          </w:p>
        </w:tc>
      </w:tr>
      <w:tr>
        <w:tc>
          <w:tcPr>
            <w:tcW w:type="dxa" w:w="3500"/>
            <w:tcBorders>
              <w:top w:val="single" w:color="CCCCCC" w:sz="1"/>
              <w:left w:val="single" w:color="CCCCCC" w:sz="1"/>
              <w:bottom w:val="single" w:color="CCCCCC" w:sz="1"/>
              <w:right w:val="single" w:color="CCCCCC" w:sz="1"/>
            </w:tcBorders>
          </w:tcPr>
          <w:p>
            <w:r>
              <w:rPr>
                <w:b/>
                <w:bCs/>
              </w:rPr>
              <w:t xml:space="preserve">Fonds 4S</w:t>
            </w:r>
          </w:p>
        </w:tc>
        <w:tc>
          <w:tcPr>
            <w:tcW w:type="dxa" w:w="5860"/>
            <w:tcBorders>
              <w:top w:val="single" w:color="CCCCCC" w:sz="1"/>
              <w:left w:val="single" w:color="CCCCCC" w:sz="1"/>
              <w:bottom w:val="single" w:color="CCCCCC" w:sz="1"/>
              <w:right w:val="single" w:color="CCCCCC" w:sz="1"/>
            </w:tcBorders>
          </w:tcPr>
          <w:p>
            <w:r>
              <w:t xml:space="preserve">Fonds formation secteur socioculturel et sportif</w:t>
            </w:r>
          </w:p>
          <w:p>
            <w:r>
              <w:rPr>
                <w:sz w:val="20"/>
                <w:szCs w:val="20"/>
              </w:rPr>
              <w:t xml:space="preserve">• Formation continue + outplacement</w:t>
            </w:r>
          </w:p>
          <w:p>
            <w:r>
              <w:rPr>
                <w:sz w:val="20"/>
                <w:szCs w:val="20"/>
              </w:rPr>
              <w:t xml:space="preserve">• Budget max autorisé : min. 8 100€/3 ans par ASBL</w:t>
            </w:r>
          </w:p>
          <w:p>
            <w:r>
              <w:rPr>
                <w:sz w:val="20"/>
                <w:szCs w:val="20"/>
              </w:rPr>
              <w:t xml:space="preserve">• Cotisation patronale : 0,20% (ONSS)</w:t>
            </w:r>
          </w:p>
        </w:tc>
      </w:tr>
      <w:tr>
        <w:tc>
          <w:tcPr>
            <w:tcW w:type="dxa" w:w="3500"/>
            <w:tcBorders>
              <w:top w:val="single" w:color="CCCCCC" w:sz="1"/>
              <w:left w:val="single" w:color="CCCCCC" w:sz="1"/>
              <w:bottom w:val="single" w:color="CCCCCC" w:sz="1"/>
              <w:right w:val="single" w:color="CCCCCC" w:sz="1"/>
            </w:tcBorders>
          </w:tcPr>
          <w:p>
            <w:r>
              <w:rPr>
                <w:b/>
                <w:bCs/>
              </w:rPr>
              <w:t xml:space="preserve">APEF</w:t>
            </w:r>
          </w:p>
        </w:tc>
        <w:tc>
          <w:tcPr>
            <w:tcW w:type="dxa" w:w="5860"/>
            <w:tcBorders>
              <w:top w:val="single" w:color="CCCCCC" w:sz="1"/>
              <w:left w:val="single" w:color="CCCCCC" w:sz="1"/>
              <w:bottom w:val="single" w:color="CCCCCC" w:sz="1"/>
              <w:right w:val="single" w:color="CCCCCC" w:sz="1"/>
            </w:tcBorders>
          </w:tcPr>
          <w:p>
            <w:r>
              <w:t xml:space="preserve">Association Paritaire Emploi et Formation</w:t>
            </w:r>
          </w:p>
          <w:p>
            <w:r>
              <w:rPr>
                <w:sz w:val="20"/>
                <w:szCs w:val="20"/>
              </w:rPr>
              <w:t xml:space="preserve">• Regroupe Fonds Maribel et Fonds Formation</w:t>
            </w:r>
          </w:p>
          <w:p>
            <w:r>
              <w:rPr>
                <w:sz w:val="20"/>
                <w:szCs w:val="20"/>
              </w:rPr>
              <w:t xml:space="preserve">• Cellule administrative mutualisée</w:t>
            </w:r>
          </w:p>
          <w:p>
            <w:r>
              <w:rPr>
                <w:sz w:val="20"/>
                <w:szCs w:val="20"/>
              </w:rPr>
              <w:t xml:space="preserve">• Coordination intersectorielle non-marchand</w:t>
            </w:r>
          </w:p>
        </w:tc>
      </w:tr>
    </w:tbl>
    <w:p>
      <w:pPr>
        <w:pStyle w:val="Heading2"/>
        <w:spacing w:before="400"/>
      </w:pPr>
      <w:r>
        <w:t xml:space="preserve">2.2 Personnes clés à contacter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d4a6f" w:val="clear"/>
          </w:tcPr>
          <w:p>
            <w:pPr>
              <w:jc w:val="center"/>
            </w:pPr>
            <w:r>
              <w:rPr>
                <w:b/>
                <w:bCs/>
                <w:color w:val="FFFFFF"/>
              </w:rPr>
              <w:t xml:space="preserve">Nom</w:t>
            </w:r>
          </w:p>
        </w:tc>
        <w:tc>
          <w:tcPr>
            <w:tcW w:type="dxa" w:w="3500"/>
            <w:tcBorders>
              <w:top w:val="single" w:color="CCCCCC" w:sz="1"/>
              <w:left w:val="single" w:color="CCCCCC" w:sz="1"/>
              <w:bottom w:val="single" w:color="CCCCCC" w:sz="1"/>
              <w:right w:val="single" w:color="CCCCCC" w:sz="1"/>
            </w:tcBorders>
            <w:shd w:fill="2d4a6f" w:val="clear"/>
          </w:tcPr>
          <w:p>
            <w:pPr>
              <w:jc w:val="center"/>
            </w:pPr>
            <w:r>
              <w:rPr>
                <w:b/>
                <w:bCs/>
                <w:color w:val="FFFFFF"/>
              </w:rPr>
              <w:t xml:space="preserve">Fonction</w:t>
            </w:r>
          </w:p>
        </w:tc>
        <w:tc>
          <w:tcPr>
            <w:tcW w:type="dxa" w:w="3360"/>
            <w:tcBorders>
              <w:top w:val="single" w:color="CCCCCC" w:sz="1"/>
              <w:left w:val="single" w:color="CCCCCC" w:sz="1"/>
              <w:bottom w:val="single" w:color="CCCCCC" w:sz="1"/>
              <w:right w:val="single" w:color="CCCCCC" w:sz="1"/>
            </w:tcBorders>
            <w:shd w:fill="2d4a6f" w:val="clear"/>
          </w:tcPr>
          <w:p>
            <w:pPr>
              <w:jc w:val="center"/>
            </w:pPr>
            <w:r>
              <w:rPr>
                <w:b/>
                <w:bCs/>
                <w:color w:val="FFFFFF"/>
              </w:rPr>
              <w:t xml:space="preserve">Contact</w:t>
            </w:r>
          </w:p>
        </w:tc>
      </w:tr>
      <w:tr>
        <w:tc>
          <w:tcPr>
            <w:tcW w:type="dxa" w:w="2500"/>
            <w:tcBorders>
              <w:top w:val="single" w:color="CCCCCC" w:sz="1"/>
              <w:left w:val="single" w:color="CCCCCC" w:sz="1"/>
              <w:bottom w:val="single" w:color="CCCCCC" w:sz="1"/>
              <w:right w:val="single" w:color="CCCCCC" w:sz="1"/>
            </w:tcBorders>
          </w:tcPr>
          <w:p>
            <w:r>
              <w:rPr>
                <w:b/>
                <w:bCs/>
              </w:rPr>
              <w:t xml:space="preserve">Farah ISMAÏLI</w:t>
            </w:r>
          </w:p>
        </w:tc>
        <w:tc>
          <w:tcPr>
            <w:tcW w:type="dxa" w:w="3500"/>
            <w:tcBorders>
              <w:top w:val="single" w:color="CCCCCC" w:sz="1"/>
              <w:left w:val="single" w:color="CCCCCC" w:sz="1"/>
              <w:bottom w:val="single" w:color="CCCCCC" w:sz="1"/>
              <w:right w:val="single" w:color="CCCCCC" w:sz="1"/>
            </w:tcBorders>
          </w:tcPr>
          <w:p>
            <w:r>
              <w:t xml:space="preserve">Directrice FESEFA</w:t>
            </w:r>
          </w:p>
          <w:p>
            <w:r>
              <w:t xml:space="preserve">Présidente Fonds Maribel 329.02</w:t>
            </w:r>
          </w:p>
        </w:tc>
        <w:tc>
          <w:tcPr>
            <w:tcW w:type="dxa" w:w="3360"/>
            <w:tcBorders>
              <w:top w:val="single" w:color="CCCCCC" w:sz="1"/>
              <w:left w:val="single" w:color="CCCCCC" w:sz="1"/>
              <w:bottom w:val="single" w:color="CCCCCC" w:sz="1"/>
              <w:right w:val="single" w:color="CCCCCC" w:sz="1"/>
            </w:tcBorders>
          </w:tcPr>
          <w:p>
            <w:r>
              <w:rPr>
                <w:sz w:val="20"/>
                <w:szCs w:val="20"/>
              </w:rPr>
              <w:t xml:space="preserve">farah.ismaili@fesefa.be</w:t>
            </w:r>
          </w:p>
          <w:p>
            <w:r>
              <w:rPr>
                <w:sz w:val="20"/>
                <w:szCs w:val="20"/>
              </w:rPr>
              <w:t xml:space="preserve">02 315 96 26</w:t>
            </w:r>
          </w:p>
        </w:tc>
      </w:tr>
      <w:tr>
        <w:tc>
          <w:tcPr>
            <w:tcW w:type="dxa" w:w="2500"/>
            <w:tcBorders>
              <w:top w:val="single" w:color="CCCCCC" w:sz="1"/>
              <w:left w:val="single" w:color="CCCCCC" w:sz="1"/>
              <w:bottom w:val="single" w:color="CCCCCC" w:sz="1"/>
              <w:right w:val="single" w:color="CCCCCC" w:sz="1"/>
            </w:tcBorders>
          </w:tcPr>
          <w:p>
            <w:r>
              <w:rPr>
                <w:b/>
                <w:bCs/>
              </w:rPr>
              <w:t xml:space="preserve">Geneviève MAIRESSE</w:t>
            </w:r>
          </w:p>
        </w:tc>
        <w:tc>
          <w:tcPr>
            <w:tcW w:type="dxa" w:w="3500"/>
            <w:tcBorders>
              <w:top w:val="single" w:color="CCCCCC" w:sz="1"/>
              <w:left w:val="single" w:color="CCCCCC" w:sz="1"/>
              <w:bottom w:val="single" w:color="CCCCCC" w:sz="1"/>
              <w:right w:val="single" w:color="CCCCCC" w:sz="1"/>
            </w:tcBorders>
          </w:tcPr>
          <w:p>
            <w:r>
              <w:t xml:space="preserve">Conseillère EP - FESEFA</w:t>
            </w:r>
          </w:p>
        </w:tc>
        <w:tc>
          <w:tcPr>
            <w:tcW w:type="dxa" w:w="3360"/>
            <w:tcBorders>
              <w:top w:val="single" w:color="CCCCCC" w:sz="1"/>
              <w:left w:val="single" w:color="CCCCCC" w:sz="1"/>
              <w:bottom w:val="single" w:color="CCCCCC" w:sz="1"/>
              <w:right w:val="single" w:color="CCCCCC" w:sz="1"/>
            </w:tcBorders>
          </w:tcPr>
          <w:p>
            <w:r>
              <w:rPr>
                <w:sz w:val="20"/>
                <w:szCs w:val="20"/>
              </w:rPr>
              <w:t xml:space="preserve">genevieve.mairesse@fesefa.be</w:t>
            </w:r>
          </w:p>
          <w:p>
            <w:r>
              <w:rPr>
                <w:sz w:val="20"/>
                <w:szCs w:val="20"/>
              </w:rPr>
              <w:t xml:space="preserve">02 315 96 24</w:t>
            </w:r>
          </w:p>
        </w:tc>
      </w:tr>
      <w:tr>
        <w:tc>
          <w:tcPr>
            <w:tcW w:type="dxa" w:w="2500"/>
            <w:tcBorders>
              <w:top w:val="single" w:color="CCCCCC" w:sz="1"/>
              <w:left w:val="single" w:color="CCCCCC" w:sz="1"/>
              <w:bottom w:val="single" w:color="CCCCCC" w:sz="1"/>
              <w:right w:val="single" w:color="CCCCCC" w:sz="1"/>
            </w:tcBorders>
          </w:tcPr>
          <w:p>
            <w:r>
              <w:rPr>
                <w:b/>
                <w:bCs/>
              </w:rPr>
              <w:t xml:space="preserve">Thomas HÉRICKS</w:t>
            </w:r>
          </w:p>
        </w:tc>
        <w:tc>
          <w:tcPr>
            <w:tcW w:type="dxa" w:w="3500"/>
            <w:tcBorders>
              <w:top w:val="single" w:color="CCCCCC" w:sz="1"/>
              <w:left w:val="single" w:color="CCCCCC" w:sz="1"/>
              <w:bottom w:val="single" w:color="CCCCCC" w:sz="1"/>
              <w:right w:val="single" w:color="CCCCCC" w:sz="1"/>
            </w:tcBorders>
          </w:tcPr>
          <w:p>
            <w:r>
              <w:t xml:space="preserve">Chargé communication - FESEFA</w:t>
            </w:r>
          </w:p>
        </w:tc>
        <w:tc>
          <w:tcPr>
            <w:tcW w:type="dxa" w:w="3360"/>
            <w:tcBorders>
              <w:top w:val="single" w:color="CCCCCC" w:sz="1"/>
              <w:left w:val="single" w:color="CCCCCC" w:sz="1"/>
              <w:bottom w:val="single" w:color="CCCCCC" w:sz="1"/>
              <w:right w:val="single" w:color="CCCCCC" w:sz="1"/>
            </w:tcBorders>
          </w:tcPr>
          <w:p>
            <w:r>
              <w:rPr>
                <w:sz w:val="20"/>
                <w:szCs w:val="20"/>
              </w:rPr>
              <w:t xml:space="preserve">thomas.hericks@fesefa.be</w:t>
            </w:r>
          </w:p>
          <w:p>
            <w:r>
              <w:rPr>
                <w:sz w:val="20"/>
                <w:szCs w:val="20"/>
              </w:rPr>
              <w:t xml:space="preserve">02 315 96 25</w:t>
            </w:r>
          </w:p>
        </w:tc>
      </w:tr>
    </w:tbl>
    <w:p>
      <w:pPr>
        <w:spacing w:before="200" w:after="100"/>
      </w:pPr>
      <w:r>
        <w:rPr>
          <w:b/>
          <w:bCs/>
        </w:rPr>
        <w:t xml:space="preserve">Adresse FESEFA : </w:t>
      </w:r>
      <w:r>
        <w:t xml:space="preserve">Rue d'Arenberg 44 (5ème étage) — 1000 Bruxelles</w:t>
      </w:r>
    </w:p>
    <w:p>
      <w:pPr>
        <w:pStyle w:val="Heading1"/>
      </w:pPr>
      <w:r>
        <w:t xml:space="preserve">3. Analyse des besoins du secteur</w:t>
      </w:r>
    </w:p>
    <w:p>
      <w:pPr>
        <w:pStyle w:val="Heading2"/>
      </w:pPr>
      <w:r>
        <w:t xml:space="preserve">3.1 Difficultés de recrutement identifiées</w:t>
      </w:r>
    </w:p>
    <w:p>
      <w:pPr>
        <w:pStyle w:val="ListParagraph"/>
        <w:numPr>
          <w:ilvl w:val="0"/>
          <w:numId w:val="2"/>
        </w:numPr>
      </w:pPr>
      <w:r>
        <w:rPr>
          <w:b/>
          <w:bCs/>
        </w:rPr>
        <w:t xml:space="preserve">Métiers en pénurie : </w:t>
      </w:r>
      <w:r>
        <w:t xml:space="preserve">Animateur socioculturel figure sur la liste Forem/Actiris des fonctions critiques</w:t>
      </w:r>
    </w:p>
    <w:p>
      <w:pPr>
        <w:pStyle w:val="ListParagraph"/>
        <w:numPr>
          <w:ilvl w:val="0"/>
          <w:numId w:val="2"/>
        </w:numPr>
      </w:pPr>
      <w:r>
        <w:rPr>
          <w:b/>
          <w:bCs/>
        </w:rPr>
        <w:t xml:space="preserve">Rotation élevée : </w:t>
      </w:r>
      <w:r>
        <w:t xml:space="preserve">CDD fréquents (projets subventionnés), turnover important</w:t>
      </w:r>
    </w:p>
    <w:p>
      <w:pPr>
        <w:pStyle w:val="ListParagraph"/>
        <w:numPr>
          <w:ilvl w:val="0"/>
          <w:numId w:val="2"/>
        </w:numPr>
      </w:pPr>
      <w:r>
        <w:rPr>
          <w:b/>
          <w:bCs/>
        </w:rPr>
        <w:t xml:space="preserve">Profils spécifiques : </w:t>
      </w:r>
      <w:r>
        <w:t xml:space="preserve">Connaissance du décret EP, expérience publics fragilisés, sens du travail collectif</w:t>
      </w:r>
    </w:p>
    <w:p>
      <w:pPr>
        <w:pStyle w:val="ListParagraph"/>
        <w:numPr>
          <w:ilvl w:val="0"/>
          <w:numId w:val="2"/>
        </w:numPr>
      </w:pPr>
      <w:r>
        <w:rPr>
          <w:b/>
          <w:bCs/>
        </w:rPr>
        <w:t xml:space="preserve">Urgence des recrutements : </w:t>
      </w:r>
      <w:r>
        <w:t xml:space="preserve">Départs soudains, remplacements Maribel rapides</w:t>
      </w:r>
    </w:p>
    <w:p>
      <w:pPr>
        <w:pStyle w:val="ListParagraph"/>
        <w:numPr>
          <w:ilvl w:val="0"/>
          <w:numId w:val="2"/>
        </w:numPr>
      </w:pPr>
      <w:r>
        <w:rPr>
          <w:b/>
          <w:bCs/>
        </w:rPr>
        <w:t xml:space="preserve">Budget RH limité : </w:t>
      </w:r>
      <w:r>
        <w:t xml:space="preserve">Petites ASBL sans service RH dédié</w:t>
      </w:r>
    </w:p>
    <w:p>
      <w:pPr>
        <w:pStyle w:val="Heading2"/>
      </w:pPr>
      <w:r>
        <w:t xml:space="preserve">3.2 Contexte politique tendu</w:t>
      </w:r>
    </w:p>
    <w:p>
      <w:pPr>
        <w:spacing w:after="200"/>
      </w:pPr>
      <w:r>
        <w:t xml:space="preserve">La carte blanche publiée par Farah Ismaïli dans Le Soir (mars 2025) dénonce l'"asphyxie du monde associatif" face aux mesures du gouvernement Arizona. Le secteur fait face à :</w:t>
      </w:r>
    </w:p>
    <w:p>
      <w:pPr>
        <w:pStyle w:val="ListParagraph"/>
        <w:numPr>
          <w:ilvl w:val="0"/>
          <w:numId w:val="2"/>
        </w:numPr>
      </w:pPr>
      <w:r>
        <w:t xml:space="preserve">Gel et coupes budgétaires menaçant la survie des associations</w:t>
      </w:r>
    </w:p>
    <w:p>
      <w:pPr>
        <w:pStyle w:val="ListParagraph"/>
        <w:numPr>
          <w:ilvl w:val="0"/>
          <w:numId w:val="2"/>
        </w:numPr>
      </w:pPr>
      <w:r>
        <w:t xml:space="preserve">Transfert vers des logiques marchandes et privatisées</w:t>
      </w:r>
    </w:p>
    <w:p>
      <w:pPr>
        <w:pStyle w:val="ListParagraph"/>
        <w:numPr>
          <w:ilvl w:val="0"/>
          <w:numId w:val="2"/>
        </w:numPr>
      </w:pPr>
      <w:r>
        <w:t xml:space="preserve">"Détricotage des initiatives citoyennes"</w:t>
      </w:r>
    </w:p>
    <w:p>
      <w:pPr>
        <w:spacing w:before="200"/>
      </w:pPr>
      <w:r>
        <w:rPr>
          <w:b/>
          <w:bCs/>
          <w:i/>
          <w:iCs/>
        </w:rPr>
        <w:t xml:space="preserve">→ Ce contexte renforce le besoin de mutualisation et d'efficience</w:t>
      </w:r>
    </w:p>
    <w:p>
      <w:pPr>
        <w:pStyle w:val="Heading2"/>
      </w:pPr>
      <w:r>
        <w:t xml:space="preserve">3.3 Solutions existantes insuffisantes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3d5a80" w:val="clear"/>
          </w:tcPr>
          <w:p>
            <w:pPr>
              <w:jc w:val="center"/>
            </w:pPr>
            <w:r>
              <w:rPr>
                <w:b/>
                <w:bCs/>
                <w:color w:val="FFFFFF"/>
              </w:rPr>
              <w:t xml:space="preserve">Plateforme</w:t>
            </w:r>
          </w:p>
        </w:tc>
        <w:tc>
          <w:tcPr>
            <w:tcW w:type="dxa" w:w="3530"/>
            <w:tcBorders>
              <w:top w:val="single" w:color="CCCCCC" w:sz="1"/>
              <w:left w:val="single" w:color="CCCCCC" w:sz="1"/>
              <w:bottom w:val="single" w:color="CCCCCC" w:sz="1"/>
              <w:right w:val="single" w:color="CCCCCC" w:sz="1"/>
            </w:tcBorders>
            <w:shd w:fill="3d5a80" w:val="clear"/>
          </w:tcPr>
          <w:p>
            <w:pPr>
              <w:jc w:val="center"/>
            </w:pPr>
            <w:r>
              <w:rPr>
                <w:b/>
                <w:bCs/>
                <w:color w:val="FFFFFF"/>
              </w:rPr>
              <w:t xml:space="preserve">Forces</w:t>
            </w:r>
          </w:p>
        </w:tc>
        <w:tc>
          <w:tcPr>
            <w:tcW w:type="dxa" w:w="3530"/>
            <w:tcBorders>
              <w:top w:val="single" w:color="CCCCCC" w:sz="1"/>
              <w:left w:val="single" w:color="CCCCCC" w:sz="1"/>
              <w:bottom w:val="single" w:color="CCCCCC" w:sz="1"/>
              <w:right w:val="single" w:color="CCCCCC" w:sz="1"/>
            </w:tcBorders>
            <w:shd w:fill="3d5a80" w:val="clear"/>
          </w:tcPr>
          <w:p>
            <w:pPr>
              <w:jc w:val="center"/>
            </w:pPr>
            <w:r>
              <w:rPr>
                <w:b/>
                <w:bCs/>
                <w:color w:val="FFFFFF"/>
              </w:rPr>
              <w:t xml:space="preserve">Limites</w:t>
            </w:r>
          </w:p>
        </w:tc>
      </w:tr>
      <w:tr>
        <w:tc>
          <w:tcPr>
            <w:tcW w:type="dxa" w:w="2300"/>
            <w:tcBorders>
              <w:top w:val="single" w:color="CCCCCC" w:sz="1"/>
              <w:left w:val="single" w:color="CCCCCC" w:sz="1"/>
              <w:bottom w:val="single" w:color="CCCCCC" w:sz="1"/>
              <w:right w:val="single" w:color="CCCCCC" w:sz="1"/>
            </w:tcBorders>
          </w:tcPr>
          <w:p>
            <w:r>
              <w:rPr>
                <w:b/>
                <w:bCs/>
              </w:rPr>
              <w:t xml:space="preserve">Alterjob</w:t>
            </w:r>
          </w:p>
        </w:tc>
        <w:tc>
          <w:tcPr>
            <w:tcW w:type="dxa" w:w="3530"/>
            <w:tcBorders>
              <w:top w:val="single" w:color="CCCCCC" w:sz="1"/>
              <w:left w:val="single" w:color="CCCCCC" w:sz="1"/>
              <w:bottom w:val="single" w:color="CCCCCC" w:sz="1"/>
              <w:right w:val="single" w:color="CCCCCC" w:sz="1"/>
            </w:tcBorders>
          </w:tcPr>
          <w:p>
            <w:r>
              <w:t xml:space="preserve">Spécialisé non-marchand, gratuit, bien implanté Bruxelles</w:t>
            </w:r>
          </w:p>
        </w:tc>
        <w:tc>
          <w:tcPr>
            <w:tcW w:type="dxa" w:w="3530"/>
            <w:tcBorders>
              <w:top w:val="single" w:color="CCCCCC" w:sz="1"/>
              <w:left w:val="single" w:color="CCCCCC" w:sz="1"/>
              <w:bottom w:val="single" w:color="CCCCCC" w:sz="1"/>
              <w:right w:val="single" w:color="CCCCCC" w:sz="1"/>
            </w:tcBorders>
          </w:tcPr>
          <w:p>
            <w:r>
              <w:t xml:space="preserve">Simple tableau d'affichage, pas d'accompagnement, pas sectoriel</w:t>
            </w:r>
          </w:p>
        </w:tc>
      </w:tr>
      <w:tr>
        <w:tc>
          <w:tcPr>
            <w:tcW w:type="dxa" w:w="2300"/>
            <w:tcBorders>
              <w:top w:val="single" w:color="CCCCCC" w:sz="1"/>
              <w:left w:val="single" w:color="CCCCCC" w:sz="1"/>
              <w:bottom w:val="single" w:color="CCCCCC" w:sz="1"/>
              <w:right w:val="single" w:color="CCCCCC" w:sz="1"/>
            </w:tcBorders>
          </w:tcPr>
          <w:p>
            <w:r>
              <w:rPr>
                <w:b/>
                <w:bCs/>
              </w:rPr>
              <w:t xml:space="preserve">Le Forem</w:t>
            </w:r>
          </w:p>
        </w:tc>
        <w:tc>
          <w:tcPr>
            <w:tcW w:type="dxa" w:w="3530"/>
            <w:tcBorders>
              <w:top w:val="single" w:color="CCCCCC" w:sz="1"/>
              <w:left w:val="single" w:color="CCCCCC" w:sz="1"/>
              <w:bottom w:val="single" w:color="CCCCCC" w:sz="1"/>
              <w:right w:val="single" w:color="CCCCCC" w:sz="1"/>
            </w:tcBorders>
          </w:tcPr>
          <w:p>
            <w:r>
              <w:t xml:space="preserve">Service public gratuit, formations métiers en pénurie</w:t>
            </w:r>
          </w:p>
        </w:tc>
        <w:tc>
          <w:tcPr>
            <w:tcW w:type="dxa" w:w="3530"/>
            <w:tcBorders>
              <w:top w:val="single" w:color="CCCCCC" w:sz="1"/>
              <w:left w:val="single" w:color="CCCCCC" w:sz="1"/>
              <w:bottom w:val="single" w:color="CCCCCC" w:sz="1"/>
              <w:right w:val="single" w:color="CCCCCC" w:sz="1"/>
            </w:tcBorders>
          </w:tcPr>
          <w:p>
            <w:r>
              <w:t xml:space="preserve">Généraliste, pas de spécialisation EP/ISP</w:t>
            </w:r>
          </w:p>
        </w:tc>
      </w:tr>
      <w:tr>
        <w:tc>
          <w:tcPr>
            <w:tcW w:type="dxa" w:w="2300"/>
            <w:tcBorders>
              <w:top w:val="single" w:color="CCCCCC" w:sz="1"/>
              <w:left w:val="single" w:color="CCCCCC" w:sz="1"/>
              <w:bottom w:val="single" w:color="CCCCCC" w:sz="1"/>
              <w:right w:val="single" w:color="CCCCCC" w:sz="1"/>
            </w:tcBorders>
          </w:tcPr>
          <w:p>
            <w:r>
              <w:rPr>
                <w:b/>
                <w:bCs/>
              </w:rPr>
              <w:t xml:space="preserve">Fonds 4S</w:t>
            </w:r>
          </w:p>
        </w:tc>
        <w:tc>
          <w:tcPr>
            <w:tcW w:type="dxa" w:w="3530"/>
            <w:tcBorders>
              <w:top w:val="single" w:color="CCCCCC" w:sz="1"/>
              <w:left w:val="single" w:color="CCCCCC" w:sz="1"/>
              <w:bottom w:val="single" w:color="CCCCCC" w:sz="1"/>
              <w:right w:val="single" w:color="CCCCCC" w:sz="1"/>
            </w:tcBorders>
          </w:tcPr>
          <w:p>
            <w:r>
              <w:t xml:space="preserve">Outplacement, formation continue</w:t>
            </w:r>
          </w:p>
        </w:tc>
        <w:tc>
          <w:tcPr>
            <w:tcW w:type="dxa" w:w="3530"/>
            <w:tcBorders>
              <w:top w:val="single" w:color="CCCCCC" w:sz="1"/>
              <w:left w:val="single" w:color="CCCCCC" w:sz="1"/>
              <w:bottom w:val="single" w:color="CCCCCC" w:sz="1"/>
              <w:right w:val="single" w:color="CCCCCC" w:sz="1"/>
            </w:tcBorders>
          </w:tcPr>
          <w:p>
            <w:r>
              <w:t xml:space="preserve">Pas de service de recrutement direct</w:t>
            </w:r>
          </w:p>
        </w:tc>
      </w:tr>
    </w:tbl>
    <w:p>
      <w:pPr>
        <w:pStyle w:val="Heading1"/>
      </w:pPr>
      <w:r>
        <w:t xml:space="preserve">4. Proposition : Réserve de Recrutement Sectorielle</w:t>
      </w:r>
    </w:p>
    <w:p>
      <w:pPr>
        <w:pStyle w:val="Heading2"/>
      </w:pPr>
      <w:r>
        <w:t xml:space="preserve">4.1 Concept</w:t>
      </w:r>
    </w:p>
    <w:p>
      <w:pPr>
        <w:spacing w:after="200"/>
      </w:pPr>
      <w:r>
        <w:t xml:space="preserve">Un service mutualisé de recrutement spécialisé pour les associations de la CP 329.02, fonctionnant comme un "vivier qualifié" de candidats présélectionnés et formés aux spécificités du secteur.</w:t>
      </w:r>
    </w:p>
    <w:p>
      <w:pPr>
        <w:pStyle w:val="Heading3"/>
      </w:pPr>
      <w:r>
        <w:t xml:space="preserve">Services proposés</w:t>
      </w:r>
    </w:p>
    <w:p>
      <w:pPr>
        <w:pStyle w:val="ListParagraph"/>
        <w:numPr>
          <w:ilvl w:val="0"/>
          <w:numId w:val="3"/>
        </w:numPr>
      </w:pPr>
      <w:r>
        <w:rPr>
          <w:b/>
          <w:bCs/>
        </w:rPr>
        <w:t xml:space="preserve">Constitution d'un vivier de candidats qualifiés</w:t>
      </w:r>
    </w:p>
    <w:p>
      <w:pPr>
        <w:pStyle w:val="ListParagraph"/>
        <w:numPr>
          <w:ilvl w:val="0"/>
          <w:numId w:val="4"/>
        </w:numPr>
      </w:pPr>
      <w:r>
        <w:t xml:space="preserve">Sourcing actif (partenariats écoles, formations EP)</w:t>
      </w:r>
    </w:p>
    <w:p>
      <w:pPr>
        <w:pStyle w:val="ListParagraph"/>
        <w:numPr>
          <w:ilvl w:val="0"/>
          <w:numId w:val="4"/>
        </w:numPr>
      </w:pPr>
      <w:r>
        <w:t xml:space="preserve">Présélection sur critères sectoriels (décret EP, publics cibles)</w:t>
      </w:r>
    </w:p>
    <w:p>
      <w:pPr>
        <w:pStyle w:val="ListParagraph"/>
        <w:numPr>
          <w:ilvl w:val="0"/>
          <w:numId w:val="4"/>
        </w:numPr>
      </w:pPr>
      <w:r>
        <w:t xml:space="preserve">Évaluation des compétences civiques (via modules POLiT!KA)</w:t>
      </w:r>
    </w:p>
    <w:p>
      <w:pPr>
        <w:pStyle w:val="ListParagraph"/>
        <w:numPr>
          <w:ilvl w:val="0"/>
          <w:numId w:val="3"/>
        </w:numPr>
      </w:pPr>
      <w:r>
        <w:rPr>
          <w:b/>
          <w:bCs/>
        </w:rPr>
        <w:t xml:space="preserve">Matching associations/candidats</w:t>
      </w:r>
    </w:p>
    <w:p>
      <w:pPr>
        <w:pStyle w:val="ListParagraph"/>
        <w:numPr>
          <w:ilvl w:val="0"/>
          <w:numId w:val="4"/>
        </w:numPr>
      </w:pPr>
      <w:r>
        <w:t xml:space="preserve">Analyse des besoins de l'association</w:t>
      </w:r>
    </w:p>
    <w:p>
      <w:pPr>
        <w:pStyle w:val="ListParagraph"/>
        <w:numPr>
          <w:ilvl w:val="0"/>
          <w:numId w:val="4"/>
        </w:numPr>
      </w:pPr>
      <w:r>
        <w:t xml:space="preserve">Shortlist de candidats correspondants</w:t>
      </w:r>
    </w:p>
    <w:p>
      <w:pPr>
        <w:pStyle w:val="ListParagraph"/>
        <w:numPr>
          <w:ilvl w:val="0"/>
          <w:numId w:val="4"/>
        </w:numPr>
      </w:pPr>
      <w:r>
        <w:t xml:space="preserve">Accompagnement entretiens</w:t>
      </w:r>
    </w:p>
    <w:p>
      <w:pPr>
        <w:pStyle w:val="ListParagraph"/>
        <w:numPr>
          <w:ilvl w:val="0"/>
          <w:numId w:val="3"/>
        </w:numPr>
      </w:pPr>
      <w:r>
        <w:rPr>
          <w:b/>
          <w:bCs/>
        </w:rPr>
        <w:t xml:space="preserve">Formation d'intégration</w:t>
      </w:r>
    </w:p>
    <w:p>
      <w:pPr>
        <w:pStyle w:val="ListParagraph"/>
        <w:numPr>
          <w:ilvl w:val="0"/>
          <w:numId w:val="4"/>
        </w:numPr>
      </w:pPr>
      <w:r>
        <w:t xml:space="preserve">Module "Fondamentaux EP" (partenariat Fonds 4S)</w:t>
      </w:r>
    </w:p>
    <w:p>
      <w:pPr>
        <w:pStyle w:val="ListParagraph"/>
        <w:numPr>
          <w:ilvl w:val="0"/>
          <w:numId w:val="4"/>
        </w:numPr>
      </w:pPr>
      <w:r>
        <w:t xml:space="preserve">Certification POLiT!KA (éducation civique gamifiée)</w:t>
      </w:r>
    </w:p>
    <w:p>
      <w:pPr>
        <w:pStyle w:val="ListParagraph"/>
        <w:numPr>
          <w:ilvl w:val="0"/>
          <w:numId w:val="4"/>
        </w:numPr>
      </w:pPr>
      <w:r>
        <w:t xml:space="preserve">Connaissance écosystème institutionnel (FWB, communes, etc.)</w:t>
      </w:r>
    </w:p>
    <w:p>
      <w:pPr>
        <w:pStyle w:val="ListParagraph"/>
        <w:numPr>
          <w:ilvl w:val="0"/>
          <w:numId w:val="3"/>
        </w:numPr>
      </w:pPr>
      <w:r>
        <w:rPr>
          <w:b/>
          <w:bCs/>
        </w:rPr>
        <w:t xml:space="preserve">Services complémentaires</w:t>
      </w:r>
    </w:p>
    <w:p>
      <w:pPr>
        <w:pStyle w:val="ListParagraph"/>
        <w:numPr>
          <w:ilvl w:val="0"/>
          <w:numId w:val="4"/>
        </w:numPr>
      </w:pPr>
      <w:r>
        <w:t xml:space="preserve">Remplacements urgents (pool intérimaire sectoriel)</w:t>
      </w:r>
    </w:p>
    <w:p>
      <w:pPr>
        <w:pStyle w:val="ListParagraph"/>
        <w:numPr>
          <w:ilvl w:val="0"/>
          <w:numId w:val="4"/>
        </w:numPr>
      </w:pPr>
      <w:r>
        <w:t xml:space="preserve">Conseil RH aux petites ASBL</w:t>
      </w:r>
    </w:p>
    <w:p>
      <w:pPr>
        <w:pStyle w:val="ListParagraph"/>
        <w:numPr>
          <w:ilvl w:val="0"/>
          <w:numId w:val="4"/>
        </w:numPr>
      </w:pPr>
      <w:r>
        <w:t xml:space="preserve">Veille emploi sectorielle</w:t>
      </w:r>
    </w:p>
    <w:p>
      <w:pPr>
        <w:pStyle w:val="Heading2"/>
      </w:pPr>
      <w:r>
        <w:t xml:space="preserve">4.2 Intégration POLiT!KA</w:t>
      </w:r>
    </w:p>
    <w:p>
      <w:pPr>
        <w:spacing w:after="200"/>
      </w:pPr>
      <w:r>
        <w:t xml:space="preserve">Le projet POLiT!KA (gamification de l'éducation civique) s'intègre naturellement dans cette proposition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Module POLiT!KA</w:t>
            </w:r>
          </w:p>
        </w:tc>
        <w:tc>
          <w:tcPr>
            <w:tcW w:type="dxa" w:w="624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Application Recrutement</w:t>
            </w:r>
          </w:p>
        </w:tc>
      </w:tr>
      <w:tr>
        <w:tc>
          <w:tcPr>
            <w:tcW w:type="dxa" w:w="3120"/>
            <w:tcBorders>
              <w:top w:val="single" w:color="CCCCCC" w:sz="1"/>
              <w:left w:val="single" w:color="CCCCCC" w:sz="1"/>
              <w:bottom w:val="single" w:color="CCCCCC" w:sz="1"/>
              <w:right w:val="single" w:color="CCCCCC" w:sz="1"/>
            </w:tcBorders>
          </w:tcPr>
          <w:p>
            <w:r>
              <w:rPr>
                <w:b/>
                <w:bCs/>
              </w:rPr>
              <w:t xml:space="preserve">SYSTÈME (7 chapitres)</w:t>
            </w:r>
          </w:p>
        </w:tc>
        <w:tc>
          <w:tcPr>
            <w:tcW w:type="dxa" w:w="6240"/>
            <w:tcBorders>
              <w:top w:val="single" w:color="CCCCCC" w:sz="1"/>
              <w:left w:val="single" w:color="CCCCCC" w:sz="1"/>
              <w:bottom w:val="single" w:color="CCCCCC" w:sz="1"/>
              <w:right w:val="single" w:color="CCCCCC" w:sz="1"/>
            </w:tcBorders>
          </w:tcPr>
          <w:p>
            <w:r>
              <w:t xml:space="preserve">Évaluation connaissance système politique belge — obligatoire pour tout candidat au vivier</w:t>
            </w:r>
          </w:p>
        </w:tc>
      </w:tr>
      <w:tr>
        <w:tc>
          <w:tcPr>
            <w:tcW w:type="dxa" w:w="3120"/>
            <w:tcBorders>
              <w:top w:val="single" w:color="CCCCCC" w:sz="1"/>
              <w:left w:val="single" w:color="CCCCCC" w:sz="1"/>
              <w:bottom w:val="single" w:color="CCCCCC" w:sz="1"/>
              <w:right w:val="single" w:color="CCCCCC" w:sz="1"/>
            </w:tcBorders>
          </w:tcPr>
          <w:p>
            <w:r>
              <w:rPr>
                <w:b/>
                <w:bCs/>
              </w:rPr>
              <w:t xml:space="preserve">Diagnostic Démocratique</w:t>
            </w:r>
          </w:p>
        </w:tc>
        <w:tc>
          <w:tcPr>
            <w:tcW w:type="dxa" w:w="6240"/>
            <w:tcBorders>
              <w:top w:val="single" w:color="CCCCCC" w:sz="1"/>
              <w:left w:val="single" w:color="CCCCCC" w:sz="1"/>
              <w:bottom w:val="single" w:color="CCCCCC" w:sz="1"/>
              <w:right w:val="single" w:color="CCCCCC" w:sz="1"/>
            </w:tcBorders>
          </w:tcPr>
          <w:p>
            <w:r>
              <w:t xml:space="preserve">Outil d'analyse critique — formation "pensée EP"</w:t>
            </w:r>
          </w:p>
        </w:tc>
      </w:tr>
      <w:tr>
        <w:tc>
          <w:tcPr>
            <w:tcW w:type="dxa" w:w="3120"/>
            <w:tcBorders>
              <w:top w:val="single" w:color="CCCCCC" w:sz="1"/>
              <w:left w:val="single" w:color="CCCCCC" w:sz="1"/>
              <w:bottom w:val="single" w:color="CCCCCC" w:sz="1"/>
              <w:right w:val="single" w:color="CCCCCC" w:sz="1"/>
            </w:tcBorders>
          </w:tcPr>
          <w:p>
            <w:r>
              <w:rPr>
                <w:b/>
                <w:bCs/>
              </w:rPr>
              <w:t xml:space="preserve">Guildes territoriales</w:t>
            </w:r>
          </w:p>
        </w:tc>
        <w:tc>
          <w:tcPr>
            <w:tcW w:type="dxa" w:w="6240"/>
            <w:tcBorders>
              <w:top w:val="single" w:color="CCCCCC" w:sz="1"/>
              <w:left w:val="single" w:color="CCCCCC" w:sz="1"/>
              <w:bottom w:val="single" w:color="CCCCCC" w:sz="1"/>
              <w:right w:val="single" w:color="CCCCCC" w:sz="1"/>
            </w:tcBorders>
          </w:tcPr>
          <w:p>
            <w:r>
              <w:t xml:space="preserve">Création communautés de candidats par province/région</w:t>
            </w:r>
          </w:p>
        </w:tc>
      </w:tr>
      <w:tr>
        <w:tc>
          <w:tcPr>
            <w:tcW w:type="dxa" w:w="3120"/>
            <w:tcBorders>
              <w:top w:val="single" w:color="CCCCCC" w:sz="1"/>
              <w:left w:val="single" w:color="CCCCCC" w:sz="1"/>
              <w:bottom w:val="single" w:color="CCCCCC" w:sz="1"/>
              <w:right w:val="single" w:color="CCCCCC" w:sz="1"/>
            </w:tcBorders>
          </w:tcPr>
          <w:p>
            <w:r>
              <w:rPr>
                <w:b/>
                <w:bCs/>
              </w:rPr>
              <w:t xml:space="preserve">Certificats LinkedIn</w:t>
            </w:r>
          </w:p>
        </w:tc>
        <w:tc>
          <w:tcPr>
            <w:tcW w:type="dxa" w:w="6240"/>
            <w:tcBorders>
              <w:top w:val="single" w:color="CCCCCC" w:sz="1"/>
              <w:left w:val="single" w:color="CCCCCC" w:sz="1"/>
              <w:bottom w:val="single" w:color="CCCCCC" w:sz="1"/>
              <w:right w:val="single" w:color="CCCCCC" w:sz="1"/>
            </w:tcBorders>
          </w:tcPr>
          <w:p>
            <w:r>
              <w:t xml:space="preserve">Badge "Citoyen informé" valorisant le profil candidat</w:t>
            </w:r>
          </w:p>
        </w:tc>
      </w:tr>
    </w:tbl>
    <w:p>
      <w:pPr>
        <w:pStyle w:val="Heading2"/>
      </w:pPr>
      <w:r>
        <w:t xml:space="preserve">4.3 Modèle économique</w:t>
      </w:r>
    </w:p>
    <w:p>
      <w:pPr>
        <w:spacing w:after="100"/>
      </w:pPr>
      <w:r>
        <w:rPr>
          <w:b/>
          <w:bCs/>
        </w:rPr>
        <w:t xml:space="preserve">Option A : Service intégré à la FESEFA</w:t>
      </w:r>
    </w:p>
    <w:p>
      <w:pPr>
        <w:pStyle w:val="ListParagraph"/>
        <w:numPr>
          <w:ilvl w:val="0"/>
          <w:numId w:val="2"/>
        </w:numPr>
      </w:pPr>
      <w:r>
        <w:t xml:space="preserve">Cotisation annuelle associations membres (incluse ou majorée)</w:t>
      </w:r>
    </w:p>
    <w:p>
      <w:pPr>
        <w:pStyle w:val="ListParagraph"/>
        <w:numPr>
          <w:ilvl w:val="0"/>
          <w:numId w:val="2"/>
        </w:numPr>
      </w:pPr>
      <w:r>
        <w:t xml:space="preserve">Frais de recrutement à la mission (500-1 500€ selon complexité)</w:t>
      </w:r>
    </w:p>
    <w:p>
      <w:pPr>
        <w:pStyle w:val="ListParagraph"/>
        <w:numPr>
          <w:ilvl w:val="0"/>
          <w:numId w:val="2"/>
        </w:numPr>
      </w:pPr>
      <w:r>
        <w:t xml:space="preserve">Financement croisé Fonds 4S pour volet formation</w:t>
      </w:r>
    </w:p>
    <w:p>
      <w:pPr>
        <w:spacing w:before="200" w:after="100"/>
      </w:pPr>
      <w:r>
        <w:rPr>
          <w:b/>
          <w:bCs/>
        </w:rPr>
        <w:t xml:space="preserve">Option B : Structure autonome conventionnée</w:t>
      </w:r>
    </w:p>
    <w:p>
      <w:pPr>
        <w:pStyle w:val="ListParagraph"/>
        <w:numPr>
          <w:ilvl w:val="0"/>
          <w:numId w:val="2"/>
        </w:numPr>
      </w:pPr>
      <w:r>
        <w:t xml:space="preserve">ASBL dédiée avec convention de service avec FESEFA/CESSoC</w:t>
      </w:r>
    </w:p>
    <w:p>
      <w:pPr>
        <w:pStyle w:val="ListParagraph"/>
        <w:numPr>
          <w:ilvl w:val="0"/>
          <w:numId w:val="2"/>
        </w:numPr>
      </w:pPr>
      <w:r>
        <w:t xml:space="preserve">Tarification à l'usage pour associations</w:t>
      </w:r>
    </w:p>
    <w:p>
      <w:pPr>
        <w:pStyle w:val="ListParagraph"/>
        <w:numPr>
          <w:ilvl w:val="0"/>
          <w:numId w:val="2"/>
        </w:numPr>
      </w:pPr>
      <w:r>
        <w:t xml:space="preserve">Possibilité de subventions (FWB, FSE, appels à projets)</w:t>
      </w:r>
    </w:p>
    <w:p>
      <w:pPr>
        <w:spacing w:before="200" w:after="100"/>
      </w:pPr>
      <w:r>
        <w:rPr>
          <w:b/>
          <w:bCs/>
        </w:rPr>
        <w:t xml:space="preserve">Projection revenus (hypothèse année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Source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Volume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Revenus</w:t>
            </w:r>
          </w:p>
        </w:tc>
      </w:tr>
      <w:tr>
        <w:tc>
          <w:tcPr>
            <w:tcW w:type="dxa" w:w="4680"/>
            <w:tcBorders>
              <w:top w:val="single" w:color="CCCCCC" w:sz="1"/>
              <w:left w:val="single" w:color="CCCCCC" w:sz="1"/>
              <w:bottom w:val="single" w:color="CCCCCC" w:sz="1"/>
              <w:right w:val="single" w:color="CCCCCC" w:sz="1"/>
            </w:tcBorders>
          </w:tcPr>
          <w:p>
            <w:r>
              <w:t xml:space="preserve">Missions recrutement (800€ moy.)</w:t>
            </w:r>
          </w:p>
        </w:tc>
        <w:tc>
          <w:tcPr>
            <w:tcW w:type="dxa" w:w="2340"/>
            <w:tcBorders>
              <w:top w:val="single" w:color="CCCCCC" w:sz="1"/>
              <w:left w:val="single" w:color="CCCCCC" w:sz="1"/>
              <w:bottom w:val="single" w:color="CCCCCC" w:sz="1"/>
              <w:right w:val="single" w:color="CCCCCC" w:sz="1"/>
            </w:tcBorders>
          </w:tcPr>
          <w:p>
            <w:pPr>
              <w:jc w:val="center"/>
            </w:pPr>
            <w:r>
              <w:t xml:space="preserve">50 missions</w:t>
            </w:r>
          </w:p>
        </w:tc>
        <w:tc>
          <w:tcPr>
            <w:tcW w:type="dxa" w:w="2340"/>
            <w:tcBorders>
              <w:top w:val="single" w:color="CCCCCC" w:sz="1"/>
              <w:left w:val="single" w:color="CCCCCC" w:sz="1"/>
              <w:bottom w:val="single" w:color="CCCCCC" w:sz="1"/>
              <w:right w:val="single" w:color="CCCCCC" w:sz="1"/>
            </w:tcBorders>
          </w:tcPr>
          <w:p>
            <w:pPr>
              <w:jc w:val="right"/>
            </w:pPr>
            <w:r>
              <w:t xml:space="preserve">40 000€</w:t>
            </w:r>
          </w:p>
        </w:tc>
      </w:tr>
      <w:tr>
        <w:tc>
          <w:tcPr>
            <w:tcW w:type="dxa" w:w="4680"/>
            <w:tcBorders>
              <w:top w:val="single" w:color="CCCCCC" w:sz="1"/>
              <w:left w:val="single" w:color="CCCCCC" w:sz="1"/>
              <w:bottom w:val="single" w:color="CCCCCC" w:sz="1"/>
              <w:right w:val="single" w:color="CCCCCC" w:sz="1"/>
            </w:tcBorders>
          </w:tcPr>
          <w:p>
            <w:r>
              <w:t xml:space="preserve">Abonnement vivier (200€/an)</w:t>
            </w:r>
          </w:p>
        </w:tc>
        <w:tc>
          <w:tcPr>
            <w:tcW w:type="dxa" w:w="2340"/>
            <w:tcBorders>
              <w:top w:val="single" w:color="CCCCCC" w:sz="1"/>
              <w:left w:val="single" w:color="CCCCCC" w:sz="1"/>
              <w:bottom w:val="single" w:color="CCCCCC" w:sz="1"/>
              <w:right w:val="single" w:color="CCCCCC" w:sz="1"/>
            </w:tcBorders>
          </w:tcPr>
          <w:p>
            <w:pPr>
              <w:jc w:val="center"/>
            </w:pPr>
            <w:r>
              <w:t xml:space="preserve">100 ASBL</w:t>
            </w:r>
          </w:p>
        </w:tc>
        <w:tc>
          <w:tcPr>
            <w:tcW w:type="dxa" w:w="2340"/>
            <w:tcBorders>
              <w:top w:val="single" w:color="CCCCCC" w:sz="1"/>
              <w:left w:val="single" w:color="CCCCCC" w:sz="1"/>
              <w:bottom w:val="single" w:color="CCCCCC" w:sz="1"/>
              <w:right w:val="single" w:color="CCCCCC" w:sz="1"/>
            </w:tcBorders>
          </w:tcPr>
          <w:p>
            <w:pPr>
              <w:jc w:val="right"/>
            </w:pPr>
            <w:r>
              <w:t xml:space="preserve">20 000€</w:t>
            </w:r>
          </w:p>
        </w:tc>
      </w:tr>
      <w:tr>
        <w:tc>
          <w:tcPr>
            <w:tcW w:type="dxa" w:w="4680"/>
            <w:tcBorders>
              <w:top w:val="single" w:color="CCCCCC" w:sz="1"/>
              <w:left w:val="single" w:color="CCCCCC" w:sz="1"/>
              <w:bottom w:val="single" w:color="CCCCCC" w:sz="1"/>
              <w:right w:val="single" w:color="CCCCCC" w:sz="1"/>
            </w:tcBorders>
          </w:tcPr>
          <w:p>
            <w:r>
              <w:t xml:space="preserve">Formations POLiT!KA (via Fonds 4S)</w:t>
            </w:r>
          </w:p>
        </w:tc>
        <w:tc>
          <w:tcPr>
            <w:tcW w:type="dxa" w:w="2340"/>
            <w:tcBorders>
              <w:top w:val="single" w:color="CCCCCC" w:sz="1"/>
              <w:left w:val="single" w:color="CCCCCC" w:sz="1"/>
              <w:bottom w:val="single" w:color="CCCCCC" w:sz="1"/>
              <w:right w:val="single" w:color="CCCCCC" w:sz="1"/>
            </w:tcBorders>
          </w:tcPr>
          <w:p>
            <w:pPr>
              <w:jc w:val="center"/>
            </w:pPr>
            <w:r>
              <w:t xml:space="preserve">Conventionné</w:t>
            </w:r>
          </w:p>
        </w:tc>
        <w:tc>
          <w:tcPr>
            <w:tcW w:type="dxa" w:w="2340"/>
            <w:tcBorders>
              <w:top w:val="single" w:color="CCCCCC" w:sz="1"/>
              <w:left w:val="single" w:color="CCCCCC" w:sz="1"/>
              <w:bottom w:val="single" w:color="CCCCCC" w:sz="1"/>
              <w:right w:val="single" w:color="CCCCCC" w:sz="1"/>
            </w:tcBorders>
          </w:tcPr>
          <w:p>
            <w:pPr>
              <w:jc w:val="right"/>
            </w:pPr>
            <w:r>
              <w:t xml:space="preserve">15 000€</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TOTAL ESTIMÉ</w:t>
            </w:r>
          </w:p>
        </w:tc>
        <w:tc>
          <w:tcPr>
            <w:tcW w:type="dxa" w:w="2340"/>
            <w:tcBorders>
              <w:top w:val="single" w:color="CCCCCC" w:sz="1"/>
              <w:left w:val="single" w:color="CCCCCC" w:sz="1"/>
              <w:bottom w:val="single" w:color="CCCCCC" w:sz="1"/>
              <w:right w:val="single" w:color="CCCCCC" w:sz="1"/>
            </w:tcBorders>
            <w:shd w:fill="f0f0f0" w:val="clear"/>
          </w:tcPr>
          <w:p>
            <w:pPr>
              <w:jc w:val="center"/>
            </w:pPr>
            <w:r>
              <w:t xml:space="preserve"/>
            </w:r>
          </w:p>
        </w:tc>
        <w:tc>
          <w:tcPr>
            <w:tcW w:type="dxa" w:w="2340"/>
            <w:tcBorders>
              <w:top w:val="single" w:color="CCCCCC" w:sz="1"/>
              <w:left w:val="single" w:color="CCCCCC" w:sz="1"/>
              <w:bottom w:val="single" w:color="CCCCCC" w:sz="1"/>
              <w:right w:val="single" w:color="CCCCCC" w:sz="1"/>
            </w:tcBorders>
            <w:shd w:fill="f0f0f0" w:val="clear"/>
          </w:tcPr>
          <w:p>
            <w:pPr>
              <w:jc w:val="right"/>
            </w:pPr>
            <w:r>
              <w:rPr>
                <w:b/>
                <w:bCs/>
              </w:rPr>
              <w:t xml:space="preserve">75 000€</w:t>
            </w:r>
          </w:p>
        </w:tc>
      </w:tr>
    </w:tbl>
    <w:p>
      <w:pPr>
        <w:pStyle w:val="Heading1"/>
      </w:pPr>
      <w:r>
        <w:t xml:space="preserve">5. Stratégie d'approche recommandée</w:t>
      </w:r>
    </w:p>
    <w:p>
      <w:pPr>
        <w:pStyle w:val="Heading2"/>
      </w:pPr>
      <w:r>
        <w:t xml:space="preserve">5.1 Argumentaire clé</w:t>
      </w:r>
    </w:p>
    <w:p>
      <w:pPr>
        <w:spacing w:after="200"/>
      </w:pPr>
      <w:r>
        <w:rPr>
          <w:b/>
          <w:bCs/>
        </w:rPr>
        <w:t xml:space="preserve">Alignement avec la mission FESEFA :</w:t>
      </w:r>
    </w:p>
    <w:p>
      <w:pPr>
        <w:pStyle w:val="ListParagraph"/>
        <w:numPr>
          <w:ilvl w:val="0"/>
          <w:numId w:val="2"/>
        </w:numPr>
      </w:pPr>
      <w:r>
        <w:t xml:space="preserve">"Défendre les intérêts des associations membres" → le recrutement est une préoccupation majeure</w:t>
      </w:r>
    </w:p>
    <w:p>
      <w:pPr>
        <w:pStyle w:val="ListParagraph"/>
        <w:numPr>
          <w:ilvl w:val="0"/>
          <w:numId w:val="2"/>
        </w:numPr>
      </w:pPr>
      <w:r>
        <w:t xml:space="preserve">"Soutenir le développement de l'éducation permanente" → POLiT!KA = EP gamifiée</w:t>
      </w:r>
    </w:p>
    <w:p>
      <w:pPr>
        <w:pStyle w:val="ListParagraph"/>
        <w:numPr>
          <w:ilvl w:val="0"/>
          <w:numId w:val="2"/>
        </w:numPr>
      </w:pPr>
      <w:r>
        <w:t xml:space="preserve">"Représenter dans les instances" → le service renforce le poids de la fédération</w:t>
      </w:r>
    </w:p>
    <w:p>
      <w:pPr>
        <w:pStyle w:val="ListParagraph"/>
        <w:numPr>
          <w:ilvl w:val="0"/>
          <w:numId w:val="2"/>
        </w:numPr>
      </w:pPr>
      <w:r>
        <w:t xml:space="preserve">"Informer, former, soutenir" → le recrutement est une forme de soutien crucial</w:t>
      </w:r>
    </w:p>
    <w:p>
      <w:pPr>
        <w:spacing w:before="200" w:after="200"/>
      </w:pPr>
      <w:r>
        <w:rPr>
          <w:b/>
          <w:bCs/>
        </w:rPr>
        <w:t xml:space="preserve">Réponse à la crise actuelle :</w:t>
      </w:r>
    </w:p>
    <w:p>
      <w:pPr>
        <w:pStyle w:val="ListParagraph"/>
        <w:numPr>
          <w:ilvl w:val="0"/>
          <w:numId w:val="2"/>
        </w:numPr>
      </w:pPr>
      <w:r>
        <w:t xml:space="preserve">Face à l'"asphyxie" dénoncée par Farah Ismaïli → mutualisation = résilience</w:t>
      </w:r>
    </w:p>
    <w:p>
      <w:pPr>
        <w:pStyle w:val="ListParagraph"/>
        <w:numPr>
          <w:ilvl w:val="0"/>
          <w:numId w:val="2"/>
        </w:numPr>
      </w:pPr>
      <w:r>
        <w:t xml:space="preserve">Menaces budgétaires → efficience partagée réduit les coûts unitaires</w:t>
      </w:r>
    </w:p>
    <w:p>
      <w:pPr>
        <w:pStyle w:val="ListParagraph"/>
        <w:numPr>
          <w:ilvl w:val="0"/>
          <w:numId w:val="2"/>
        </w:numPr>
      </w:pPr>
      <w:r>
        <w:t xml:space="preserve">Privatisation rampante → solution sectorielle préserve l'autonomie associative</w:t>
      </w:r>
    </w:p>
    <w:p>
      <w:pPr>
        <w:pStyle w:val="Heading2"/>
      </w:pPr>
      <w:r>
        <w:t xml:space="preserve">5.2 Parcours de contact</w:t>
      </w:r>
    </w:p>
    <w:p>
      <w:pPr>
        <w:pStyle w:val="ListParagraph"/>
        <w:numPr>
          <w:ilvl w:val="0"/>
          <w:numId w:val="5"/>
        </w:numPr>
      </w:pPr>
      <w:r>
        <w:rPr>
          <w:b/>
          <w:bCs/>
        </w:rPr>
        <w:t xml:space="preserve">Premier contact : Thomas Héricks</w:t>
      </w:r>
      <w:r>
        <w:t xml:space="preserve"> (communication FESEFA)</w:t>
      </w:r>
    </w:p>
    <w:p>
      <w:pPr>
        <w:pStyle w:val="ListParagraph"/>
        <w:numPr>
          <w:ilvl w:val="0"/>
          <w:numId w:val="4"/>
        </w:numPr>
      </w:pPr>
      <w:r>
        <w:t xml:space="preserve">Email de prise de contact + présentation synthétique du projet</w:t>
      </w:r>
    </w:p>
    <w:p>
      <w:pPr>
        <w:pStyle w:val="ListParagraph"/>
        <w:numPr>
          <w:ilvl w:val="0"/>
          <w:numId w:val="4"/>
        </w:numPr>
      </w:pPr>
      <w:r>
        <w:t xml:space="preserve">Demande de rendez-vous exploratoire</w:t>
      </w:r>
    </w:p>
    <w:p>
      <w:pPr>
        <w:pStyle w:val="ListParagraph"/>
        <w:numPr>
          <w:ilvl w:val="0"/>
          <w:numId w:val="5"/>
        </w:numPr>
      </w:pPr>
      <w:r>
        <w:rPr>
          <w:b/>
          <w:bCs/>
        </w:rPr>
        <w:t xml:space="preserve">Deuxième étape : Geneviève Mairesse</w:t>
      </w:r>
      <w:r>
        <w:t xml:space="preserve"> (conseillère EP)</w:t>
      </w:r>
    </w:p>
    <w:p>
      <w:pPr>
        <w:pStyle w:val="ListParagraph"/>
        <w:numPr>
          <w:ilvl w:val="0"/>
          <w:numId w:val="4"/>
        </w:numPr>
      </w:pPr>
      <w:r>
        <w:t xml:space="preserve">Présentation de la synergie EP/POLiT!KA</w:t>
      </w:r>
    </w:p>
    <w:p>
      <w:pPr>
        <w:pStyle w:val="ListParagraph"/>
        <w:numPr>
          <w:ilvl w:val="0"/>
          <w:numId w:val="4"/>
        </w:numPr>
      </w:pPr>
      <w:r>
        <w:t xml:space="preserve">Validation de la pertinence sectorielle</w:t>
      </w:r>
    </w:p>
    <w:p>
      <w:pPr>
        <w:pStyle w:val="ListParagraph"/>
        <w:numPr>
          <w:ilvl w:val="0"/>
          <w:numId w:val="5"/>
        </w:numPr>
      </w:pPr>
      <w:r>
        <w:rPr>
          <w:b/>
          <w:bCs/>
        </w:rPr>
        <w:t xml:space="preserve">Présentation Direction : Farah Ismaïli</w:t>
      </w:r>
    </w:p>
    <w:p>
      <w:pPr>
        <w:pStyle w:val="ListParagraph"/>
        <w:numPr>
          <w:ilvl w:val="0"/>
          <w:numId w:val="4"/>
        </w:numPr>
      </w:pPr>
      <w:r>
        <w:t xml:space="preserve">Pitch complet avec ce dossier stratégique</w:t>
      </w:r>
    </w:p>
    <w:p>
      <w:pPr>
        <w:pStyle w:val="ListParagraph"/>
        <w:numPr>
          <w:ilvl w:val="0"/>
          <w:numId w:val="4"/>
        </w:numPr>
      </w:pPr>
      <w:r>
        <w:t xml:space="preserve">Démonstration modules POLiT!KA</w:t>
      </w:r>
    </w:p>
    <w:p>
      <w:pPr>
        <w:pStyle w:val="ListParagraph"/>
        <w:numPr>
          <w:ilvl w:val="0"/>
          <w:numId w:val="4"/>
        </w:numPr>
      </w:pPr>
      <w:r>
        <w:t xml:space="preserve">Discussion modalités de partenariat</w:t>
      </w:r>
    </w:p>
    <w:p>
      <w:pPr>
        <w:pStyle w:val="Heading2"/>
      </w:pPr>
      <w:r>
        <w:t xml:space="preserve">5.3 Modèle d'email de premier contact</w:t>
      </w:r>
    </w:p>
    <w:p>
      <w:pPr>
        <w:shd w:fill="f5f5f5" w:val="clear"/>
        <w:spacing w:before="100"/>
      </w:pPr>
      <w:r>
        <w:rPr>
          <w:i/>
          <w:iCs/>
        </w:rPr>
        <w:t xml:space="preserve">Objet : Projet de Réserve de Recrutement sectorielle — Demande de rencontre</w:t>
      </w:r>
    </w:p>
    <w:p>
      <w:pPr>
        <w:shd w:fill="f5f5f5" w:val="clear"/>
      </w:pPr>
      <w:r>
        <w:t xml:space="preserve"/>
      </w:r>
    </w:p>
    <w:p>
      <w:pPr>
        <w:shd w:fill="f5f5f5" w:val="clear"/>
      </w:pPr>
      <w:r>
        <w:t xml:space="preserve">Madame, Monsieur,</w:t>
      </w:r>
    </w:p>
    <w:p>
      <w:pPr>
        <w:shd w:fill="f5f5f5" w:val="clear"/>
      </w:pPr>
      <w:r>
        <w:t xml:space="preserve"/>
      </w:r>
    </w:p>
    <w:p>
      <w:pPr>
        <w:shd w:fill="f5f5f5" w:val="clear"/>
      </w:pPr>
      <w:r>
        <w:t xml:space="preserve">Je me permets de vous contacter suite à la lecture de la carte blanche de Mme Ismaïli sur l'avenir du secteur associatif, qui résonne fortement avec un projet que je développe depuis plusieurs mois.</w:t>
      </w:r>
    </w:p>
    <w:p>
      <w:pPr>
        <w:shd w:fill="f5f5f5" w:val="clear"/>
      </w:pPr>
      <w:r>
        <w:t xml:space="preserve"/>
      </w:r>
    </w:p>
    <w:p>
      <w:pPr>
        <w:shd w:fill="f5f5f5" w:val="clear"/>
      </w:pPr>
      <w:r>
        <w:t xml:space="preserve">En quelques mots : je propose la création d'une Réserve de Recrutement mutualisée pour les associations de la CP 329.02, couplée à un dispositif de formation civique gamifiée (POLiT!KA) qui s'inscrit pleinement dans la mission d'éducation permanente.</w:t>
      </w:r>
    </w:p>
    <w:p>
      <w:pPr>
        <w:shd w:fill="f5f5f5" w:val="clear"/>
      </w:pPr>
      <w:r>
        <w:t xml:space="preserve"/>
      </w:r>
    </w:p>
    <w:p>
      <w:pPr>
        <w:shd w:fill="f5f5f5" w:val="clear"/>
      </w:pPr>
      <w:r>
        <w:t xml:space="preserve">Ce projet répond à un besoin non couvert par les plateformes existantes et pourrait renforcer le soutien de la FESEFA à ses membres tout en générant une activité viable.</w:t>
      </w:r>
    </w:p>
    <w:p>
      <w:pPr>
        <w:shd w:fill="f5f5f5" w:val="clear"/>
      </w:pPr>
      <w:r>
        <w:t xml:space="preserve"/>
      </w:r>
    </w:p>
    <w:p>
      <w:pPr>
        <w:shd w:fill="f5f5f5" w:val="clear"/>
      </w:pPr>
      <w:r>
        <w:t xml:space="preserve">Serait-il possible de convenir d'un échange de 30 minutes pour vous présenter cette proposition ?</w:t>
      </w:r>
    </w:p>
    <w:p>
      <w:pPr>
        <w:shd w:fill="f5f5f5" w:val="clear"/>
      </w:pPr>
      <w:r>
        <w:t xml:space="preserve"/>
      </w:r>
    </w:p>
    <w:p>
      <w:pPr>
        <w:shd w:fill="f5f5f5" w:val="clear"/>
      </w:pPr>
      <w:r>
        <w:t xml:space="preserve">En vous remerciant pour votre attention,</w:t>
      </w:r>
    </w:p>
    <w:p>
      <w:pPr>
        <w:shd w:fill="f5f5f5" w:val="clear"/>
      </w:pPr>
      <w:r>
        <w:t xml:space="preserve">[Signature]</w:t>
      </w:r>
    </w:p>
    <w:p>
      <w:pPr>
        <w:pStyle w:val="Heading1"/>
      </w:pPr>
      <w:r>
        <w:t xml:space="preserve">6. Ressources et liens utiles</w:t>
      </w:r>
    </w:p>
    <w:p>
      <w:r>
        <w:rPr>
          <w:b/>
          <w:bCs/>
        </w:rPr>
        <w:t xml:space="preserve">Sites officiels :</w:t>
      </w:r>
    </w:p>
    <w:p>
      <w:pPr>
        <w:pStyle w:val="ListParagraph"/>
        <w:numPr>
          <w:ilvl w:val="0"/>
          <w:numId w:val="2"/>
        </w:numPr>
      </w:pPr>
      <w:r>
        <w:t xml:space="preserve">FESEFA : </w:t>
      </w:r>
      <w:hyperlink w:history="1" r:id="rId7mpkfzsvt-z1tb2k1dlrt">
        <w:r>
          <w:rPr>
            <w:color w:val="0066cc"/>
          </w:rPr>
          <w:t xml:space="preserve">www.fesefa.be</w:t>
        </w:r>
      </w:hyperlink>
    </w:p>
    <w:p>
      <w:pPr>
        <w:pStyle w:val="ListParagraph"/>
        <w:numPr>
          <w:ilvl w:val="0"/>
          <w:numId w:val="2"/>
        </w:numPr>
      </w:pPr>
      <w:r>
        <w:t xml:space="preserve">CESSoC : </w:t>
      </w:r>
      <w:hyperlink w:history="1" r:id="rIdcntogamv8giygcnjf_8xb">
        <w:r>
          <w:rPr>
            <w:color w:val="0066cc"/>
          </w:rPr>
          <w:t xml:space="preserve">www.cessoc.be</w:t>
        </w:r>
      </w:hyperlink>
    </w:p>
    <w:p>
      <w:pPr>
        <w:pStyle w:val="ListParagraph"/>
        <w:numPr>
          <w:ilvl w:val="0"/>
          <w:numId w:val="2"/>
        </w:numPr>
      </w:pPr>
      <w:r>
        <w:t xml:space="preserve">Fonds 4S : </w:t>
      </w:r>
      <w:hyperlink w:history="1" r:id="rIdzn5te5weqtt_gznmoixxb">
        <w:r>
          <w:rPr>
            <w:color w:val="0066cc"/>
          </w:rPr>
          <w:t xml:space="preserve">www.fonds-4s.org</w:t>
        </w:r>
      </w:hyperlink>
    </w:p>
    <w:p>
      <w:pPr>
        <w:pStyle w:val="ListParagraph"/>
        <w:numPr>
          <w:ilvl w:val="0"/>
          <w:numId w:val="2"/>
        </w:numPr>
      </w:pPr>
      <w:r>
        <w:t xml:space="preserve">APEF : </w:t>
      </w:r>
      <w:hyperlink w:history="1" r:id="rIdrdeuvdkc-7nx5xcnighfv">
        <w:r>
          <w:rPr>
            <w:color w:val="0066cc"/>
          </w:rPr>
          <w:t xml:space="preserve">apefasbl.org</w:t>
        </w:r>
      </w:hyperlink>
    </w:p>
    <w:p>
      <w:pPr>
        <w:pStyle w:val="ListParagraph"/>
        <w:numPr>
          <w:ilvl w:val="0"/>
          <w:numId w:val="2"/>
        </w:numPr>
      </w:pPr>
      <w:r>
        <w:t xml:space="preserve">Éducation permanente FWB : </w:t>
      </w:r>
      <w:hyperlink w:history="1" r:id="rIdslvmw_qx4snr79kbooaxo">
        <w:r>
          <w:rPr>
            <w:color w:val="0066cc"/>
          </w:rPr>
          <w:t xml:space="preserve">educationpermanente.cfwb.be</w:t>
        </w:r>
      </w:hyperlink>
    </w:p>
    <w:p>
      <w:pPr>
        <w:spacing w:before="200"/>
      </w:pPr>
      <w:r>
        <w:rPr>
          <w:b/>
          <w:bCs/>
        </w:rPr>
        <w:t xml:space="preserve">Plateformes emploi secteur :</w:t>
      </w:r>
    </w:p>
    <w:p>
      <w:pPr>
        <w:pStyle w:val="ListParagraph"/>
        <w:numPr>
          <w:ilvl w:val="0"/>
          <w:numId w:val="2"/>
        </w:numPr>
      </w:pPr>
      <w:r>
        <w:t xml:space="preserve">Alterjob : </w:t>
      </w:r>
      <w:hyperlink w:history="1" r:id="rIdffuv3emybk0nakp-xc2cs">
        <w:r>
          <w:rPr>
            <w:color w:val="0066cc"/>
          </w:rPr>
          <w:t xml:space="preserve">www.alterjob.be</w:t>
        </w:r>
      </w:hyperlink>
    </w:p>
    <w:p>
      <w:pPr>
        <w:pStyle w:val="ListParagraph"/>
        <w:numPr>
          <w:ilvl w:val="0"/>
          <w:numId w:val="2"/>
        </w:numPr>
      </w:pPr>
      <w:r>
        <w:t xml:space="preserve">Guide Social : </w:t>
      </w:r>
      <w:hyperlink w:history="1" r:id="rId6vqd5lopcptapfqejyvib">
        <w:r>
          <w:rPr>
            <w:color w:val="0066cc"/>
          </w:rPr>
          <w:t xml:space="preserve">pro.guidesocial.be/jobs</w:t>
        </w:r>
      </w:hyperlink>
    </w:p>
    <w:p>
      <w:pPr>
        <w:pStyle w:val="ListParagraph"/>
        <w:numPr>
          <w:ilvl w:val="0"/>
          <w:numId w:val="2"/>
        </w:numPr>
      </w:pPr>
      <w:r>
        <w:t xml:space="preserve">MonASBL.be : </w:t>
      </w:r>
      <w:hyperlink w:history="1" r:id="rIddb4wtltivecxtr1nna_i3">
        <w:r>
          <w:rPr>
            <w:color w:val="0066cc"/>
          </w:rPr>
          <w:t xml:space="preserve">www.monasbl.be/annonces/emploi</w:t>
        </w:r>
      </w:hyperlink>
    </w:p>
    <w:p>
      <w:pPr>
        <w:spacing w:before="200"/>
      </w:pPr>
      <w:r>
        <w:rPr>
          <w:b/>
          <w:bCs/>
        </w:rPr>
        <w:t xml:space="preserve">Documents de référence :</w:t>
      </w:r>
    </w:p>
    <w:p>
      <w:pPr>
        <w:pStyle w:val="ListParagraph"/>
        <w:numPr>
          <w:ilvl w:val="0"/>
          <w:numId w:val="2"/>
        </w:numPr>
      </w:pPr>
      <w:r>
        <w:t xml:space="preserve">Carte blanche Farah Ismaïli (Le Soir, mars 2025)</w:t>
      </w:r>
    </w:p>
    <w:p>
      <w:pPr>
        <w:pStyle w:val="ListParagraph"/>
        <w:numPr>
          <w:ilvl w:val="0"/>
          <w:numId w:val="2"/>
        </w:numPr>
      </w:pPr>
      <w:r>
        <w:t xml:space="preserve">Circulaire Maribel 2024 (appel 360 mi-temps)</w:t>
      </w:r>
    </w:p>
    <w:p>
      <w:pPr>
        <w:pStyle w:val="ListParagraph"/>
        <w:numPr>
          <w:ilvl w:val="0"/>
          <w:numId w:val="2"/>
        </w:numPr>
      </w:pPr>
      <w:r>
        <w:t xml:space="preserve">Liste métiers en pénurie 2025 (Forem/Actiris)</w:t>
      </w:r>
    </w:p>
    <w:p>
      <w:pPr>
        <w:pStyle w:val="ListParagraph"/>
        <w:numPr>
          <w:ilvl w:val="0"/>
          <w:numId w:val="2"/>
        </w:numPr>
      </w:pPr>
      <w:r>
        <w:t xml:space="preserve">Ouvrage "Autonomie associative menacée" (FESEFA, 2021)</w:t>
      </w:r>
    </w:p>
    <w:p>
      <w:pPr>
        <w:pStyle w:val="Heading1"/>
      </w:pPr>
      <w:r>
        <w:t xml:space="preserve">Conclusion</w:t>
      </w:r>
    </w:p>
    <w:p>
      <w:pPr>
        <w:spacing w:after="200"/>
      </w:pPr>
      <w:r>
        <w:t xml:space="preserve">Ce projet de Réserve de Recrutement Sectorielle représente une opportunité à triple bénéfice :</w:t>
      </w:r>
    </w:p>
    <w:p>
      <w:pPr>
        <w:pStyle w:val="ListParagraph"/>
        <w:numPr>
          <w:ilvl w:val="0"/>
          <w:numId w:val="6"/>
        </w:numPr>
      </w:pPr>
      <w:r>
        <w:rPr>
          <w:b/>
          <w:bCs/>
        </w:rPr>
        <w:t xml:space="preserve">Pour le secteur : </w:t>
      </w:r>
      <w:r>
        <w:t xml:space="preserve">un service mutualisé répondant à un besoin réel et non couvert</w:t>
      </w:r>
    </w:p>
    <w:p>
      <w:pPr>
        <w:pStyle w:val="ListParagraph"/>
        <w:numPr>
          <w:ilvl w:val="0"/>
          <w:numId w:val="6"/>
        </w:numPr>
      </w:pPr>
      <w:r>
        <w:rPr>
          <w:b/>
          <w:bCs/>
        </w:rPr>
        <w:t xml:space="preserve">Pour la FESEFA : </w:t>
      </w:r>
      <w:r>
        <w:t xml:space="preserve">un renforcement de son offre aux membres et de sa légitimité sectorielle</w:t>
      </w:r>
    </w:p>
    <w:p>
      <w:pPr>
        <w:pStyle w:val="ListParagraph"/>
        <w:numPr>
          <w:ilvl w:val="0"/>
          <w:numId w:val="6"/>
        </w:numPr>
      </w:pPr>
      <w:r>
        <w:rPr>
          <w:b/>
          <w:bCs/>
        </w:rPr>
        <w:t xml:space="preserve">Pour le porteur : </w:t>
      </w:r>
      <w:r>
        <w:t xml:space="preserve">une activité économiquement viable au service de la démocratie participative</w:t>
      </w:r>
    </w:p>
    <w:p>
      <w:pPr>
        <w:spacing w:before="300"/>
      </w:pPr>
      <w:r>
        <w:t xml:space="preserve">L'intégration de POLiT!KA ajoute une dimension d'innovation en faisant de chaque recrutement une occasion de renforcer la culture civique du secteur — au cœur même de la mission d'éducation permanente.</w:t>
      </w:r>
    </w:p>
    <w:p>
      <w:pPr>
        <w:spacing w:before="300"/>
        <w:jc w:val="center"/>
      </w:pPr>
      <w:r>
        <w:rPr>
          <w:b/>
          <w:bCs/>
          <w:i/>
          <w:iCs/>
          <w:color w:val="7c3aed"/>
          <w:sz w:val="26"/>
          <w:szCs w:val="26"/>
        </w:rPr>
        <w:t xml:space="preserve">« Jouez. Comprenez. Agissez. Recrutez.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Dossier stratégique — Janvier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4a6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7mpkfzsvt-z1tb2k1dlrt" Type="http://schemas.openxmlformats.org/officeDocument/2006/relationships/hyperlink" Target="https://www.fesefa.be" TargetMode="External"/><Relationship Id="rIdcntogamv8giygcnjf_8xb" Type="http://schemas.openxmlformats.org/officeDocument/2006/relationships/hyperlink" Target="https://www.cessoc.be" TargetMode="External"/><Relationship Id="rIdzn5te5weqtt_gznmoixxb" Type="http://schemas.openxmlformats.org/officeDocument/2006/relationships/hyperlink" Target="https://www.fonds-4s.org" TargetMode="External"/><Relationship Id="rIdrdeuvdkc-7nx5xcnighfv" Type="http://schemas.openxmlformats.org/officeDocument/2006/relationships/hyperlink" Target="https://apefasbl.org" TargetMode="External"/><Relationship Id="rIdslvmw_qx4snr79kbooaxo" Type="http://schemas.openxmlformats.org/officeDocument/2006/relationships/hyperlink" Target="https://educationpermanente.cfwb.be" TargetMode="External"/><Relationship Id="rIdffuv3emybk0nakp-xc2cs" Type="http://schemas.openxmlformats.org/officeDocument/2006/relationships/hyperlink" Target="https://www.alterjob.be" TargetMode="External"/><Relationship Id="rId6vqd5lopcptapfqejyvib" Type="http://schemas.openxmlformats.org/officeDocument/2006/relationships/hyperlink" Target="https://pro.guidesocial.be/jobs/" TargetMode="External"/><Relationship Id="rIddb4wtltivecxtr1nna_i3" Type="http://schemas.openxmlformats.org/officeDocument/2006/relationships/hyperlink" Target="https://www.monasbl.be/annonces/emploi/"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2026-01-07T09:28:35.384Z</dcterms:created>
  <dcterms:modified xsi:type="dcterms:W3CDTF">2026-01-07T09:28:35.385Z</dcterms:modified>
</cp:coreProperties>
</file>

<file path=docProps/custom.xml><?xml version="1.0" encoding="utf-8"?>
<Properties xmlns="http://schemas.openxmlformats.org/officeDocument/2006/custom-properties" xmlns:vt="http://schemas.openxmlformats.org/officeDocument/2006/docPropsVTypes"/>
</file>