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Bénéfices attendus par partie prenante </w:t>
      </w:r>
      <w:r>
        <w:rPr>
          <w:i/>
        </w:rPr>
        <w:t>(pièces 01, 04)</w:t>
      </w:r>
      <w:r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Partie prenante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Bénéfice attendu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Direction Mobilité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Indicateurs fiables partageables avec les élus ; pilotage par l'impact usager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Exploitation / supervision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Détection des anomalies en minutes plutôt qu'en jours ; interventions priorisées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Relation usagers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Une seule vérité diffusée sur tous les canaux ; communication crédible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Intégration au SI, suppression des flux redondants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Référent RGPD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Minimisation par conception : le lot 1 fonctionne sans donnée personnelle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Référent accessibilité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Dashboards conformes RGAA dès la conception, sans rattrapage coûteux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Responsable RSE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Rétention maîtrisée, fréquences proportionnées, stockage piloté par un KPI de sobriété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