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des sources de données — MobilityPulse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Volumétrie / jour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Sensibilité RGPD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Qualité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Problèmes connus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SRC01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Capteurs stations vélos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250 000 événements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JSON / API fournisseur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horodatages incohérents, doublons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SRC02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SAE bus/tram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900 000 événements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flux propriétaire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faible à moyenne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champs variables selon les lignes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SRC03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Incidents terrain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300 lignes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CSV (saisie manuelle)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1234"/>
          </w:tcPr>
          <w:p>
            <w:r>
              <w:rPr>
                <w:b/>
                <w:color w:val="CC0000"/>
                <w:sz w:val="20"/>
              </w:rPr>
              <w:t>FAIBLE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retards de saisie, typologies non normalisées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SRC04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Météo horaire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2 400 lignes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JSON API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nulle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bonne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coût API, disponibilité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SRC05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Calendrier événements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 lignes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XLSX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nulle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données non structurées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SRC06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Réclamations usagers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800 tickets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export CRM</w:t>
            </w:r>
          </w:p>
        </w:tc>
        <w:tc>
          <w:tcPr>
            <w:tcW w:type="dxa" w:w="1234"/>
          </w:tcPr>
          <w:p>
            <w:r>
              <w:rPr>
                <w:b/>
                <w:color w:val="CC0000"/>
                <w:sz w:val="20"/>
              </w:rPr>
              <w:t>ÉLEVÉE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données personnelles en texte libre</w:t>
            </w:r>
          </w:p>
        </w:tc>
      </w:tr>
    </w:tbl>
    <w:p/>
    <w:p>
      <w:r>
        <w:rPr>
          <w:i/>
          <w:sz w:val="18"/>
        </w:rPr>
        <w:t>Source : catalogue des sources (pièce 03) et cartographie des flux (pièce 02).</w:t>
      </w:r>
    </w:p>
    <w:p>
      <w:r>
        <w:rPr>
          <w:b/>
        </w:rPr>
        <w:t xml:space="preserve">Constat clé : </w:t>
      </w:r>
      <w:r>
        <w:t>deux sources (SRC01 et SRC02) concentrent environ 1 150 000 événements par jour, soit 99,7 % du volume total. À l'inverse, la seule source sensible au titre du RGPD (SRC06) ne représente que 0,07 % du volume. Ce déséquilibre orientera les choix d'architecture (sobriété, rétention) et de conformité (minimisation).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