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 Annexes</w:t>
      </w:r>
    </w:p>
    <w:p>
      <w:pPr>
        <w:pStyle w:val="Heading1"/>
      </w:pPr>
      <w:r>
        <w:t>Projet MobilityPulse — Métropole de NovaVille</w:t>
      </w:r>
    </w:p>
    <w:p>
      <w:pPr>
        <w:pStyle w:val="Heading1"/>
      </w:pPr>
      <w:r>
        <w:t>Annexe A. Schéma des flux existants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4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1_flux_exista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4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Les quatre chaînes de données actuelles. En rouge : les étapes manuelles, sources de retards et d'erreurs. En pointillés : les réclamations usagers, cloisonnées dans le CRM sans flux documenté vers les rapports. Les trois premières chaînes ne se rejoignent qu'au rapport hebdomadaire assemblé à la main ; la direction est informée avec un délai pouvant atteindre 7 jours </w:t>
      </w:r>
      <w:r>
        <w:rPr>
          <w:i/>
        </w:rPr>
        <w:t>(pièces 01, 02)</w:t>
      </w:r>
      <w:r>
        <w:t>.</w:t>
      </w:r>
    </w:p>
    <w:p>
      <w:pPr>
        <w:pStyle w:val="Heading1"/>
      </w:pPr>
      <w:r>
        <w:t>Annexe B. Poids relatif des sources de données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251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2_poids_sour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5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Deux sources concentrent 99,7 % du volume quotidien (en nombre d'enregistrements) : l'enjeu de sobriété se joue sur elles. La seule source sensible RGPD pèse 0,07 % du volume : sa mise à l'écart du lot 1 coûte très peu de valeur métier </w:t>
      </w:r>
      <w:r>
        <w:rPr>
          <w:i/>
        </w:rPr>
        <w:t>(pièce 03)</w:t>
      </w:r>
      <w:r>
        <w:t>.</w:t>
      </w:r>
    </w:p>
    <w:p>
      <w:pPr>
        <w:pStyle w:val="Heading1"/>
      </w:pPr>
      <w:r>
        <w:t>Annexe C. Architecture cible (lot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009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3_architecture_ci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09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Le socle retenu : ingestion automatisée en micro-batch, trois zones de données sur formats ouverts, exposition accessible. Chaque brique transverse (en vert) neutralise un risque de la matrice </w:t>
      </w:r>
      <w:r>
        <w:rPr>
          <w:i/>
        </w:rPr>
        <w:t>(pièce 07)</w:t>
      </w:r>
      <w:r>
        <w:t>. La source SRC06 (en pointillés) rejoindra le dispositif au lot 2, pseudonymisée.</w:t>
      </w:r>
    </w:p>
    <w:p>
      <w:pPr>
        <w:pStyle w:val="Heading1"/>
      </w:pPr>
      <w:r>
        <w:t>Annexe D. Matrice des risques</w:t>
      </w:r>
    </w:p>
    <w:p>
      <w:r>
        <w:t xml:space="preserve">Reprise du dossier documentaire </w:t>
      </w:r>
      <w:r>
        <w:rPr>
          <w:i/>
        </w:rPr>
        <w:t>(pièce 07)</w:t>
      </w:r>
      <w:r>
        <w:t xml:space="preserve"> et enrichie (risques R7 à R9).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Risque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Probabilité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Mesure de maîtrise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Porteur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Données incohérentes entre fournisseurs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Forte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Référentiel maître et règles de mapping (lot 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Équipe data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Données personnelles dans les réclamations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SRC06 reportée au lot 2, pseudonymisation et avis DPO avant intégration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Référent RGPD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Saturation du stockage par les flux temps réel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Moyen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Rétention 30 jours du brut, agrégation progressive, purge automatisée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Équipe data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Rejet métier des indicateurs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Forte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Dictionnaire KPI validé en atelier avant diffusion, définitions publiées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Direction Mobilité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Inaccessibilité des tableaux de bord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Moyen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Critères RGAA 4.1.2 intégrés aux spécifications, audit avant mise en service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Référent accessibilité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Changement de schéma API fournisseur sans préavis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Moyen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Contrats d'interface et tests de non-régression automatisés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DSI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Dérive du périmètre en cours de lot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Comité d'arbitrage mensuel, toute demande nouvelle passe au lot suivant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Chef de projet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Indisponibilité des équipes métier pour les ateliers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Moyen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Calendrier des ateliers fixé au démarrage, suppléants désignés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Direction Mobilité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Dépassement de l'enveloppe (marge de 5,9 % seulement)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Moyenne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Suivi budgétaire mensuel, périmètre lot 1 resserré, socle sans coût de licence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Chef de projet</w:t>
            </w:r>
          </w:p>
        </w:tc>
      </w:tr>
    </w:tbl>
    <w:p/>
    <w:p>
      <w:pPr>
        <w:pStyle w:val="Heading1"/>
      </w:pPr>
      <w:r>
        <w:t>Annexe E. Matrice de décision</w:t>
      </w:r>
    </w:p>
    <w:p>
      <w:r>
        <w:t>Comparaison des deux options d'architecture (détail dans le rapport de recommandations C5). Notes de 1 à 5, pondérées selon les priorités du dossier.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Critère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Poids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Option A : socle micro-batch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Option B : streaming temps réel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Coût (respect de l'enveloppe de 85 000 €)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25 %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Délai (lot 1 en 3 mois)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20 %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Conformité (RGPD, RGAA, sécurité)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Sobriété numérique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Simplicité d'exploitation et compétences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Évolutivité (temps réel, IA)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Score pondéré (sur 5)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  <w:sz w:val="18"/>
              </w:rPr>
              <w:t>4,6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2,6</w:t>
            </w:r>
          </w:p>
        </w:tc>
      </w:tr>
    </w:tbl>
    <w:p/>
    <w:p>
      <w:r>
        <w:rPr>
          <w:b/>
        </w:rPr>
        <w:t>Décision : option A retenue pour le lot 1</w:t>
      </w:r>
      <w:r>
        <w:t>, conçue prête pour le streaming afin de préserver l'évolution vers le temps réel au lot 2 si l'usage le justifie.</w:t>
      </w:r>
    </w:p>
    <w:p>
      <w:pPr>
        <w:pStyle w:val="Heading1"/>
      </w:pPr>
      <w:r>
        <w:t>Annexe F. Tableau des sources de veille</w:t>
      </w:r>
    </w:p>
    <w:p>
      <w:r>
        <w:t>Les 25 sources ont été vérifiées en ligne le 20/07/2026 et notées avec la grille de qualification du rapport de veille (autorité, actualité, fiabilité, utilité, sur 12). Le détail des apports figure dans le rapport C2-C3.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Thème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Date / version constatée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Score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Réglementaire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CNIL, durées de conservation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Mise à jour 02/04/2026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Réglementaire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CNIL, guide sécurité des données personnelles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Édition 2024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Réglementaire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CNIL, anonymisation et pseudonymisation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19/05/2020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Réglementaire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CNIL, registre des traitements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 2018, art. 30 en vigueur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Réglementaire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RGPD, règlement (UE) 2016/679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Texte consolidé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Accessibilité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RGAA 4.1.2 (DINUM)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18/04/2023, en vigueur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Accessibilité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DesignGouv, annonce du RGAA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02/03/2026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Réglementaire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Act, règlement (UE) 2024/1689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Vérifié 07/07/2026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Réglementaire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Governance Act, règlement (UE) 2022/868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Vérifié 03/07/2026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Technologie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 officielle Apache Airflow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v3.3.0, 06/07/2026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Technologie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 officielle dbt-core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v1.12.0, 16/07/2026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Technologie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 GX Core (Great Expectations)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v1.19.0, 07/2026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Technologie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 officielle Apache Superset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v6.1.0, 13/05/2026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Technologie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 officielle Apache Kafka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v4.3.1, 25/06/2026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Technologie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 officielle Metabase et sa licence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v0.62.5, 16/07/2026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Technologie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Annonce DuckDB 1.5.0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09/03/2026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Technologie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 officielle Apache Spark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v4.2.0, 14/07/2026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Technologie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Dépôt Soda Core (licence ELv2)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v4.17.1, 15/07/2026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Sobriété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RGESN v2 (Arcep/Arcom, loi REEN)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 2024, en vigueur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Sobriété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ADEME, numérique responsable collectivités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Mise à jour 16/01/2026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Sobriété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Green IT, 115 bonnes pratiques (5e éd.)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Juin 2025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Mobilité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gtfs.org, standard GTFS/GTFS-RT (MobilityData)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Consulté 20/07/2026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Mobilité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transport.data.gouv.fr (Point d'Accès National)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Consulté 20/07/2026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Mobilité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NeTEx / SIRI, standards CEN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Consulté 20/07/2026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10/12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Mobilité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Observatoire des politiques locales de mobilité (Cerema/GART)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Millésime 2025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10/12</w:t>
            </w:r>
          </w:p>
        </w:tc>
      </w:tr>
    </w:tbl>
    <w:p/>
    <w:p>
      <w:pPr>
        <w:pStyle w:val="Heading1"/>
      </w:pPr>
      <w:r>
        <w:t>Annexe G. Glossaire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Terme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Définition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Système d'aide à l'exploitation : plateforme qui suit en temps réel les véhicules de transport (positions, retards, interruptions)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Batch / micro-batch / streaming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Traitement des données par lots périodiques (heures), par petits lots fréquents (minutes), ou en continu (secondes)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ETL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Chaîne Extraire, Transformer, Charger : le parcours automatisé d'une donnée depuis sa source jusqu'à son exploitation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Lakehouse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Architecture combinant la souplesse d'un lac de données et les garanties d'un entrepôt de données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Parquet / Iceberg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Formats de fichiers et de tables ouverts pour le stockage analytique, lisibles par de nombreux moteurs, gage de réversibilité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Zone brute / nettoyée / métier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Les trois niveaux de raffinement du socle : données telles que reçues, données normalisées, indicateurs prêts à l'usage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Référentiel maître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Liste unique et officielle des entités partagées (stations, lignes, typologies d'incident)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Dictionnaire de données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 décrivant chaque donnée et indicateur : définition, source, propriétaire, sensibilité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Contrat d'interface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Engagement formalisé avec un fournisseur sur le format et le contenu des données échangées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Orchestration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Planification et enchaînement automatiques des traitements, avec reprise sur erreur et journalisation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Apache Airflow / dbt / GX Core / Superset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Les quatre briques open source du socle : orchestration, transformations SQL tracées, contrôles qualité, tableaux de bord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Pseudonymisation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Remplacement réversible des identifiants ; la donnée reste personnelle au sens du RGPD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Anonymisation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Suppression irréversible du lien avec la personne ; la donnée sort du champ du RGPD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RGPD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Règlement général sur la protection des données (UE 2016/679)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RGAA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Référentiel général d'amélioration de l'accessibilité ; version 4.1.2 en vigueur, RGAA 5 annoncé pour fin 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RGESN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Référentiel général d'écoconception des services numériques (Arcep/Arcom, 78 critères)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Règlement européen sur l'intelligence artificielle (UE 2024/1689), applicable par paliers de 2025 à 2027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GTFS / GTFS-RT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Standard mondial de description des réseaux de transport, en version horaires théoriques / temps réel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LOM / PAN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Loi d'orientation des mobilités / Point d'Accès National (transport.data.gouv.fr) où la métropole doit publier ses données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Indicateur clé de performance, associé à une décision métier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Licence Apache 2.0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Licence open source permissive : usage libre, sans coût de licence ni dépendance éditeur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