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120"/>
        <w:jc w:val="center"/>
      </w:pPr>
      <w:r>
        <w:rPr>
          <w:b/>
          <w:bCs/>
          <w:color w:val="B40F1E"/>
          <w:sz w:val="72"/>
          <w:szCs w:val="72"/>
        </w:rPr>
        <w:t xml:space="preserve">GÉNIE MARKETING Mag</w:t>
      </w:r>
    </w:p>
    <w:p>
      <w:pPr>
        <w:spacing w:after="480"/>
        <w:jc w:val="center"/>
      </w:pPr>
      <w:r>
        <w:rPr>
          <w:i/>
          <w:iCs/>
          <w:color w:val="2D2D2D"/>
          <w:sz w:val="24"/>
          <w:szCs w:val="24"/>
        </w:rPr>
        <w:t xml:space="preserve">Le magazine de référence du marketing ivoirien</w:t>
      </w:r>
    </w:p>
    <w:p>
      <w:pPr>
        <w:pBdr>
          <w:bottom w:val="single" w:color="B40F1E" w:sz="18" w:space="1"/>
        </w:pBdr>
        <w:spacing w:after="240" w:before="0"/>
      </w:pPr>
      <w:r>
        <w:t xml:space="preserve"/>
      </w:r>
    </w:p>
    <w:p>
      <w:pPr>
        <w:spacing w:after="120" w:before="240"/>
        <w:jc w:val="center"/>
      </w:pPr>
      <w:r>
        <w:rPr>
          <w:b/>
          <w:bCs/>
          <w:color w:val="2D2D2D"/>
          <w:sz w:val="44"/>
          <w:szCs w:val="44"/>
        </w:rPr>
        <w:t xml:space="preserve">Backlog produit &amp; document d'architecture</w:t>
      </w:r>
    </w:p>
    <w:p>
      <w:pPr>
        <w:spacing w:after="2400"/>
        <w:jc w:val="center"/>
      </w:pPr>
      <w:r>
        <w:rPr>
          <w:color w:val="2D2D2D"/>
          <w:sz w:val="22"/>
          <w:szCs w:val="22"/>
        </w:rPr>
        <w:t xml:space="preserve">Spécifications pour l'implémentation du backoffice éditorial et du frontend web (grand public &amp; abonnés)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Version</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1.0</w:t>
            </w:r>
          </w:p>
        </w:tc>
      </w:tr>
      <w:tr>
        <w:tc>
          <w:tcPr>
            <w:tcW w:type="dxa" w:w="30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Date</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20 avril 2026</w:t>
            </w:r>
          </w:p>
        </w:tc>
      </w:tr>
      <w:tr>
        <w:tc>
          <w:tcPr>
            <w:tcW w:type="dxa" w:w="30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Auteur</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Direction Produit — Génie Marketing Mag</w:t>
            </w:r>
          </w:p>
        </w:tc>
      </w:tr>
      <w:tr>
        <w:tc>
          <w:tcPr>
            <w:tcW w:type="dxa" w:w="30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Statut</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Draft — à valider par le COPIL</w:t>
            </w:r>
          </w:p>
        </w:tc>
      </w:tr>
      <w:tr>
        <w:tc>
          <w:tcPr>
            <w:tcW w:type="dxa" w:w="30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Périmètre</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Backoffice éditorial + Frontend web (grand public &amp; abonnés)</w:t>
            </w:r>
          </w:p>
        </w:tc>
      </w:tr>
      <w:tr>
        <w:tc>
          <w:tcPr>
            <w:tcW w:type="dxa" w:w="30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Livrable associé</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Backlog_Genie_Marketing_Mag.xlsx (166 user stories détaillées)</w:t>
            </w:r>
          </w:p>
        </w:tc>
      </w:tr>
      <w:tr>
        <w:tc>
          <w:tcPr>
            <w:tcW w:type="dxa" w:w="30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Diffusion</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Équipe produit, équipe de développement, COPIL, prestataires</w:t>
            </w:r>
          </w:p>
        </w:tc>
      </w:tr>
    </w:tbl>
    <w:p>
      <w:r>
        <w:br w:type="page"/>
      </w:r>
    </w:p>
    <w:p>
      <w:pPr>
        <w:pStyle w:val="Heading1"/>
        <w:spacing w:after="240" w:before="480"/>
      </w:pPr>
      <w:r>
        <w:t xml:space="preserve">Historique des révisions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800"/>
        <w:gridCol w:w="3000"/>
      </w:tblGrid>
      <w:tr>
        <w:trPr>
          <w:tblHeader/>
        </w:trPr>
        <w:tc>
          <w:tcPr>
            <w:tcW w:type="dxa" w:w="14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Version</w:t>
            </w:r>
          </w:p>
        </w:tc>
        <w:tc>
          <w:tcPr>
            <w:tcW w:type="dxa" w:w="18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Date</w:t>
            </w:r>
          </w:p>
        </w:tc>
        <w:tc>
          <w:tcPr>
            <w:tcW w:type="dxa" w:w="28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Auteur</w:t>
            </w:r>
          </w:p>
        </w:tc>
        <w:tc>
          <w:tcPr>
            <w:tcW w:type="dxa" w:w="30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Modifications apportées</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val="false"/>
                <w:bCs w:val="false"/>
                <w:sz w:val="20"/>
                <w:szCs w:val="20"/>
              </w:rPr>
              <w:t xml:space="preserve">1.0</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val="false"/>
                <w:bCs w:val="false"/>
                <w:sz w:val="20"/>
                <w:szCs w:val="20"/>
              </w:rPr>
              <w:t xml:space="preserve">20 avril 2026</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Direction Produit</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Version initiale : vision, architecture, 22 épiques, 166 user stories, roadmap 12 mois</w:t>
            </w:r>
          </w:p>
        </w:tc>
      </w:tr>
    </w:tbl>
    <w:p>
      <w:r>
        <w:br w:type="page"/>
      </w:r>
    </w:p>
    <w:p>
      <w:pPr>
        <w:pStyle w:val="Heading1"/>
        <w:spacing w:after="240" w:before="480"/>
      </w:pPr>
      <w:r>
        <w:t xml:space="preserve">Sommaire</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80"/>
      </w:pPr>
      <w:r>
        <w:t xml:space="preserve">1. Introduction</w:t>
      </w:r>
    </w:p>
    <w:p>
      <w:pPr>
        <w:pStyle w:val="Heading2"/>
        <w:spacing w:after="180" w:before="360"/>
      </w:pPr>
      <w:r>
        <w:t xml:space="preserve">1.1. Contexte</w:t>
      </w:r>
    </w:p>
    <w:p>
      <w:pPr>
        <w:spacing w:after="120"/>
        <w:jc w:val="both"/>
      </w:pPr>
      <w:r>
        <w:t xml:space="preserve">GÉNIE MARKETING Mag se positionne comme le magazine de référence du marketing ivoirien et panafricain. Sa promesse éditoriale — décrypter, inspirer, transformer — repose sur la production de contenus à forte valeur ajoutée : analyses approfondies, études de cas, interviews exclusives, dossiers sectoriels et portraits des acteurs qui font bouger l'écosystème.</w:t>
      </w:r>
    </w:p>
    <w:p>
      <w:pPr>
        <w:spacing w:after="120"/>
        <w:jc w:val="both"/>
      </w:pPr>
      <w:r>
        <w:t xml:space="preserve">Pour soutenir cette ambition, le magazine se dote d'une plateforme numérique associant deux environnements complémentaires :</w:t>
      </w:r>
    </w:p>
    <w:p>
      <w:pPr>
        <w:pStyle w:val="ListParagraph"/>
        <w:numPr>
          <w:ilvl w:val="0"/>
          <w:numId w:val="2"/>
        </w:numPr>
        <w:spacing w:after="60"/>
      </w:pPr>
      <w:r>
        <w:t xml:space="preserve">un backoffice éditorial permettant à la rédaction de produire, valider et publier les contenus, gérer le magazine papier/PDF, piloter les abonnements et la relation client ;</w:t>
      </w:r>
    </w:p>
    <w:p>
      <w:pPr>
        <w:pStyle w:val="ListParagraph"/>
        <w:numPr>
          <w:ilvl w:val="0"/>
          <w:numId w:val="2"/>
        </w:numPr>
        <w:spacing w:after="60"/>
      </w:pPr>
      <w:r>
        <w:t xml:space="preserve">un frontend web public donnant accès aux articles selon le profil du lecteur (visiteur, abonné Digital, Combo ou Entreprise), avec un parcours d'abonnement fluide et un espace abonné complet.</w:t>
      </w:r>
    </w:p>
    <w:p>
      <w:pPr>
        <w:spacing w:after="120"/>
        <w:jc w:val="both"/>
      </w:pPr>
      <w:r>
        <w:t xml:space="preserve">Le présent document est un livrable structurant : il cadre la vision produit, formalise les acteurs, décrit l'architecture cible et pose les bases de la mise en œuvre. Il est complété par un fichier Excel dédié qui détaille l'intégralité du backlog fonctionnel (166 user stories avec critères d'acceptation, priorisation et estimation).</w:t>
      </w:r>
    </w:p>
    <w:p>
      <w:pPr>
        <w:pStyle w:val="Heading2"/>
        <w:spacing w:after="180" w:before="360"/>
      </w:pPr>
      <w:r>
        <w:t xml:space="preserve">1.2. Objectifs du document</w:t>
      </w:r>
    </w:p>
    <w:p>
      <w:pPr>
        <w:spacing w:after="120"/>
        <w:jc w:val="both"/>
      </w:pPr>
      <w:r>
        <w:t xml:space="preserve">Ce document poursuit quatre objectifs :</w:t>
      </w:r>
    </w:p>
    <w:p>
      <w:pPr>
        <w:pStyle w:val="ListParagraph"/>
        <w:numPr>
          <w:ilvl w:val="0"/>
          <w:numId w:val="2"/>
        </w:numPr>
        <w:spacing w:after="60"/>
      </w:pPr>
      <w:r>
        <w:t xml:space="preserve">aligner l'équipe produit, la rédaction, la direction et les équipes techniques sur le périmètre exact à livrer ;</w:t>
      </w:r>
    </w:p>
    <w:p>
      <w:pPr>
        <w:pStyle w:val="ListParagraph"/>
        <w:numPr>
          <w:ilvl w:val="0"/>
          <w:numId w:val="2"/>
        </w:numPr>
        <w:spacing w:after="60"/>
      </w:pPr>
      <w:r>
        <w:t xml:space="preserve">fournir une base contractuelle utilisable pour cadrer le projet avec des prestataires internes ou externes ;</w:t>
      </w:r>
    </w:p>
    <w:p>
      <w:pPr>
        <w:pStyle w:val="ListParagraph"/>
        <w:numPr>
          <w:ilvl w:val="0"/>
          <w:numId w:val="2"/>
        </w:numPr>
        <w:spacing w:after="60"/>
      </w:pPr>
      <w:r>
        <w:t xml:space="preserve">poser les fondations techniques et fonctionnelles indispensables à une plateforme éditoriale pérenne (performance, sécurité, conformité) ;</w:t>
      </w:r>
    </w:p>
    <w:p>
      <w:pPr>
        <w:pStyle w:val="ListParagraph"/>
        <w:numPr>
          <w:ilvl w:val="0"/>
          <w:numId w:val="2"/>
        </w:numPr>
        <w:spacing w:after="60"/>
      </w:pPr>
      <w:r>
        <w:t xml:space="preserve">structurer le phasage en 4 itérations successives, chaque itération livrant de la valeur mesurable.</w:t>
      </w:r>
    </w:p>
    <w:p>
      <w:pPr>
        <w:pStyle w:val="Heading2"/>
        <w:spacing w:after="180" w:before="360"/>
      </w:pPr>
      <w:r>
        <w:t xml:space="preserve">1.3. Périmètre</w:t>
      </w:r>
    </w:p>
    <w:p>
      <w:pPr>
        <w:spacing w:after="120"/>
        <w:jc w:val="both"/>
      </w:pPr>
      <w:r>
        <w:t xml:space="preserve">Le périmètre couvert par le présent backlog comprend :</w:t>
      </w:r>
    </w:p>
    <w:p>
      <w:pPr>
        <w:pStyle w:val="ListParagraph"/>
        <w:numPr>
          <w:ilvl w:val="0"/>
          <w:numId w:val="2"/>
        </w:numPr>
        <w:spacing w:after="60"/>
      </w:pPr>
      <w:r>
        <w:rPr>
          <w:b/>
          <w:bCs/>
        </w:rPr>
        <w:t xml:space="preserve">En entrée :</w:t>
      </w:r>
      <w:r>
        <w:t xml:space="preserve"> l'application web de production éditoriale (backoffice) — gestion des articles, des médias, du magazine, des abonnements, de la relation client, de la newsletter, des commandes, des paramètres.</w:t>
      </w:r>
    </w:p>
    <w:p>
      <w:pPr>
        <w:pStyle w:val="ListParagraph"/>
        <w:numPr>
          <w:ilvl w:val="0"/>
          <w:numId w:val="2"/>
        </w:numPr>
        <w:spacing w:after="60"/>
      </w:pPr>
      <w:r>
        <w:rPr>
          <w:b/>
          <w:bCs/>
        </w:rPr>
        <w:t xml:space="preserve">En sortie :</w:t>
      </w:r>
      <w:r>
        <w:t xml:space="preserve"> l'application web grand public et abonnés (frontend) — accueil, rubriques, consultation des articles avec paywall, tunnel d'abonnement, espace abonné, boutique magazine.</w:t>
      </w:r>
    </w:p>
    <w:p>
      <w:pPr>
        <w:pStyle w:val="ListParagraph"/>
        <w:numPr>
          <w:ilvl w:val="0"/>
          <w:numId w:val="2"/>
        </w:numPr>
        <w:spacing w:after="60"/>
      </w:pPr>
      <w:r>
        <w:rPr>
          <w:b/>
          <w:bCs/>
        </w:rPr>
        <w:t xml:space="preserve">Transverse :</w:t>
      </w:r>
      <w:r>
        <w:t xml:space="preserve"> SEO, performance, sécurité, accessibilité, conformité RGPD et loi 2013-450 CI sur la protection des données personnelles.</w:t>
      </w:r>
    </w:p>
    <w:p>
      <w:pPr>
        <w:spacing w:after="120"/>
        <w:jc w:val="both"/>
      </w:pPr>
      <w:r>
        <w:t xml:space="preserve">Ne sont pas couverts par ce document : les applications mobiles natives (iOS / Android), les systèmes de billetterie événementielle et d'espace vidéo (différés en V3+), l'intégration d'un logiciel de gestion comptable à proprement parler (simple export CSV prévu).</w:t>
      </w:r>
    </w:p>
    <w:p>
      <w:r>
        <w:br w:type="page"/>
      </w:r>
    </w:p>
    <w:p>
      <w:pPr>
        <w:pStyle w:val="Heading1"/>
        <w:spacing w:after="240" w:before="480"/>
      </w:pPr>
      <w:r>
        <w:t xml:space="preserve">2. Glossaire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Terme</w:t>
            </w:r>
          </w:p>
        </w:tc>
        <w:tc>
          <w:tcPr>
            <w:tcW w:type="dxa" w:w="66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Définition</w:t>
            </w:r>
          </w:p>
        </w:tc>
      </w:tr>
      <w:tr>
        <w:tc>
          <w:tcPr>
            <w:tcW w:type="dxa" w:w="2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Backoffice</w:t>
            </w:r>
          </w:p>
        </w:tc>
        <w:tc>
          <w:tcPr>
            <w:tcW w:type="dxa" w:w="6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Application web privée, utilisée par l'équipe éditoriale, commerciale et administrative pour piloter la plateforme.</w:t>
            </w:r>
          </w:p>
        </w:tc>
      </w:tr>
      <w:tr>
        <w:tc>
          <w:tcPr>
            <w:tcW w:type="dxa" w:w="2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Frontend</w:t>
            </w:r>
          </w:p>
        </w:tc>
        <w:tc>
          <w:tcPr>
            <w:tcW w:type="dxa" w:w="6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Application web publique, accessible aux visiteurs non identifiés et aux abonnés authentifiés.</w:t>
            </w:r>
          </w:p>
        </w:tc>
      </w:tr>
      <w:tr>
        <w:tc>
          <w:tcPr>
            <w:tcW w:type="dxa" w:w="2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Paywall</w:t>
            </w:r>
          </w:p>
        </w:tc>
        <w:tc>
          <w:tcPr>
            <w:tcW w:type="dxa" w:w="6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Dispositif qui conditionne l'accès à tout ou partie d'un contenu à une authentification ou à un abonnement payant.</w:t>
            </w:r>
          </w:p>
        </w:tc>
      </w:tr>
      <w:tr>
        <w:tc>
          <w:tcPr>
            <w:tcW w:type="dxa" w:w="2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Freemium</w:t>
            </w:r>
          </w:p>
        </w:tc>
        <w:tc>
          <w:tcPr>
            <w:tcW w:type="dxa" w:w="6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Modèle permettant à un visiteur non abonné de consulter un nombre limité d'articles gratuits par mois avant déclenchement du paywall.</w:t>
            </w:r>
          </w:p>
        </w:tc>
      </w:tr>
      <w:tr>
        <w:tc>
          <w:tcPr>
            <w:tcW w:type="dxa" w:w="2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Épique</w:t>
            </w:r>
          </w:p>
        </w:tc>
        <w:tc>
          <w:tcPr>
            <w:tcW w:type="dxa" w:w="6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Grande fonctionnalité produit, regroupant un ensemble cohérent d'user stories.</w:t>
            </w:r>
          </w:p>
        </w:tc>
      </w:tr>
      <w:tr>
        <w:tc>
          <w:tcPr>
            <w:tcW w:type="dxa" w:w="2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User story</w:t>
            </w:r>
          </w:p>
        </w:tc>
        <w:tc>
          <w:tcPr>
            <w:tcW w:type="dxa" w:w="6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Expression d'un besoin utilisateur sous la forme "En tant que [rôle], je veux [action] afin de [bénéfice]".</w:t>
            </w:r>
          </w:p>
        </w:tc>
      </w:tr>
      <w:tr>
        <w:tc>
          <w:tcPr>
            <w:tcW w:type="dxa" w:w="2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MVP</w:t>
            </w:r>
          </w:p>
        </w:tc>
        <w:tc>
          <w:tcPr>
            <w:tcW w:type="dxa" w:w="6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Minimum Viable Product. Périmètre réduit mais autonome permettant un lancement commercial.</w:t>
            </w:r>
          </w:p>
        </w:tc>
      </w:tr>
      <w:tr>
        <w:tc>
          <w:tcPr>
            <w:tcW w:type="dxa" w:w="2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MRR / ARR</w:t>
            </w:r>
          </w:p>
        </w:tc>
        <w:tc>
          <w:tcPr>
            <w:tcW w:type="dxa" w:w="6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Monthly Recurring Revenue / Annual Recurring Revenue. Revenu mensuel / annuel récurrent.</w:t>
            </w:r>
          </w:p>
        </w:tc>
      </w:tr>
      <w:tr>
        <w:tc>
          <w:tcPr>
            <w:tcW w:type="dxa" w:w="2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LTV</w:t>
            </w:r>
          </w:p>
        </w:tc>
        <w:tc>
          <w:tcPr>
            <w:tcW w:type="dxa" w:w="6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Life Time Value. Valeur client moyenne sur toute sa durée d'abonnement.</w:t>
            </w:r>
          </w:p>
        </w:tc>
      </w:tr>
      <w:tr>
        <w:tc>
          <w:tcPr>
            <w:tcW w:type="dxa" w:w="2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CAC</w:t>
            </w:r>
          </w:p>
        </w:tc>
        <w:tc>
          <w:tcPr>
            <w:tcW w:type="dxa" w:w="6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Customer Acquisition Cost. Coût moyen d'acquisition d'un nouvel abonné.</w:t>
            </w:r>
          </w:p>
        </w:tc>
      </w:tr>
      <w:tr>
        <w:tc>
          <w:tcPr>
            <w:tcW w:type="dxa" w:w="2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Churn rate</w:t>
            </w:r>
          </w:p>
        </w:tc>
        <w:tc>
          <w:tcPr>
            <w:tcW w:type="dxa" w:w="6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Taux d'attrition. Pourcentage d'abonnés qui ne renouvellent pas leur abonnement sur une période donnée.</w:t>
            </w:r>
          </w:p>
        </w:tc>
      </w:tr>
      <w:tr>
        <w:tc>
          <w:tcPr>
            <w:tcW w:type="dxa" w:w="2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NPS</w:t>
            </w:r>
          </w:p>
        </w:tc>
        <w:tc>
          <w:tcPr>
            <w:tcW w:type="dxa" w:w="6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Net Promoter Score. Indicateur de recommandation client.</w:t>
            </w:r>
          </w:p>
        </w:tc>
      </w:tr>
      <w:tr>
        <w:tc>
          <w:tcPr>
            <w:tcW w:type="dxa" w:w="2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WCAG 2.1 AA</w:t>
            </w:r>
          </w:p>
        </w:tc>
        <w:tc>
          <w:tcPr>
            <w:tcW w:type="dxa" w:w="6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Web Content Accessibility Guidelines. Référentiel international d'accessibilité web, niveau intermédiaire.</w:t>
            </w:r>
          </w:p>
        </w:tc>
      </w:tr>
      <w:tr>
        <w:tc>
          <w:tcPr>
            <w:tcW w:type="dxa" w:w="2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RGPD</w:t>
            </w:r>
          </w:p>
        </w:tc>
        <w:tc>
          <w:tcPr>
            <w:tcW w:type="dxa" w:w="6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Règlement général sur la protection des données (UE, 2018).</w:t>
            </w:r>
          </w:p>
        </w:tc>
      </w:tr>
      <w:tr>
        <w:tc>
          <w:tcPr>
            <w:tcW w:type="dxa" w:w="2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Loi 2013-450 CI</w:t>
            </w:r>
          </w:p>
        </w:tc>
        <w:tc>
          <w:tcPr>
            <w:tcW w:type="dxa" w:w="6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Loi ivoirienne du 19 juin 2013 relative à la protection des données à caractère personnel.</w:t>
            </w:r>
          </w:p>
        </w:tc>
      </w:tr>
      <w:tr>
        <w:tc>
          <w:tcPr>
            <w:tcW w:type="dxa" w:w="2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ARTCI</w:t>
            </w:r>
          </w:p>
        </w:tc>
        <w:tc>
          <w:tcPr>
            <w:tcW w:type="dxa" w:w="6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Autorité de régulation des télécommunications de Côte d'Ivoire, également compétente pour les données personnelles.</w:t>
            </w:r>
          </w:p>
        </w:tc>
      </w:tr>
      <w:tr>
        <w:tc>
          <w:tcPr>
            <w:tcW w:type="dxa" w:w="2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CinetPay</w:t>
            </w:r>
          </w:p>
        </w:tc>
        <w:tc>
          <w:tcPr>
            <w:tcW w:type="dxa" w:w="6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Agrégateur ivoirien de paiements (Mobile Money, cartes bancaires).</w:t>
            </w:r>
          </w:p>
        </w:tc>
      </w:tr>
      <w:tr>
        <w:tc>
          <w:tcPr>
            <w:tcW w:type="dxa" w:w="2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FCFA</w:t>
            </w:r>
          </w:p>
        </w:tc>
        <w:tc>
          <w:tcPr>
            <w:tcW w:type="dxa" w:w="6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Franc CFA (XOF), devise officielle de la Côte d'Ivoire.</w:t>
            </w:r>
          </w:p>
        </w:tc>
      </w:tr>
      <w:tr>
        <w:tc>
          <w:tcPr>
            <w:tcW w:type="dxa" w:w="2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SSR</w:t>
            </w:r>
          </w:p>
        </w:tc>
        <w:tc>
          <w:tcPr>
            <w:tcW w:type="dxa" w:w="6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Server-Side Rendering. Rendu côté serveur, essentiel pour le SEO d'un site de contenu.</w:t>
            </w:r>
          </w:p>
        </w:tc>
      </w:tr>
      <w:tr>
        <w:tc>
          <w:tcPr>
            <w:tcW w:type="dxa" w:w="2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CDN</w:t>
            </w:r>
          </w:p>
        </w:tc>
        <w:tc>
          <w:tcPr>
            <w:tcW w:type="dxa" w:w="6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Content Delivery Network. Réseau de diffusion de contenus géographiquement distribué.</w:t>
            </w:r>
          </w:p>
        </w:tc>
      </w:tr>
    </w:tbl>
    <w:p>
      <w:r>
        <w:br w:type="page"/>
      </w:r>
    </w:p>
    <w:p>
      <w:pPr>
        <w:pStyle w:val="Heading1"/>
        <w:spacing w:after="240" w:before="480"/>
      </w:pPr>
      <w:r>
        <w:t xml:space="preserve">3. Vision produit</w:t>
      </w:r>
    </w:p>
    <w:p>
      <w:pPr>
        <w:pStyle w:val="Heading2"/>
        <w:spacing w:after="180" w:before="360"/>
      </w:pPr>
      <w:r>
        <w:t xml:space="preserve">3.1. Promesse utilisateur</w:t>
      </w:r>
    </w:p>
    <w:p>
      <w:pPr>
        <w:spacing w:after="120"/>
        <w:jc w:val="both"/>
      </w:pPr>
      <w:r>
        <w:t xml:space="preserve">Pour les lecteurs — décideurs, marketeurs, étudiants, curieux — la plateforme offre l'accès le plus riche et le plus exigeant à l'écosystème marketing ivoirien : analyses de fond, études de cas documentées, portraits et interviews exclusives, dossiers sectoriels. L'expérience de lecture se veut soignée, à la hauteur des magazines de référence internationaux, tout en respectant les codes et la culture ivoiriens.</w:t>
      </w:r>
    </w:p>
    <w:p>
      <w:pPr>
        <w:spacing w:after="120"/>
        <w:jc w:val="both"/>
      </w:pPr>
      <w:r>
        <w:t xml:space="preserve">Pour l'équipe éditoriale, la plateforme est un outil de production industriel : publier un article doit être aussi simple qu'écrire un document Word, le workflow de validation doit être transparent, et toute l'orchestration (médias, SEO, diffusion sociale, newsletter) doit être automatisée autant que possible.</w:t>
      </w:r>
    </w:p>
    <w:p>
      <w:pPr>
        <w:spacing w:after="120"/>
        <w:jc w:val="both"/>
      </w:pPr>
      <w:r>
        <w:t xml:space="preserve">Pour la direction, la plateforme est un outil de pilotage commercial et éditorial : KPIs de consultation et d'engagement, suivi des abonnements, pilotage financier, analyses de performance — tout doit être disponible en quelques clics.</w:t>
      </w:r>
    </w:p>
    <w:p>
      <w:pPr>
        <w:pStyle w:val="Heading2"/>
        <w:spacing w:after="180" w:before="360"/>
      </w:pPr>
      <w:r>
        <w:t xml:space="preserve">3.2. Objectifs business mesurables</w:t>
      </w:r>
    </w:p>
    <w:p>
      <w:pPr>
        <w:spacing w:after="120"/>
        <w:jc w:val="both"/>
      </w:pPr>
      <w:r>
        <w:t xml:space="preserve">Les objectifs mesurables sur les 12 mois suivant le lancement du MVP sont :</w:t>
      </w:r>
    </w:p>
    <w:p>
      <w:pPr>
        <w:pStyle w:val="ListParagraph"/>
        <w:numPr>
          <w:ilvl w:val="0"/>
          <w:numId w:val="2"/>
        </w:numPr>
        <w:spacing w:after="60"/>
      </w:pPr>
      <w:r>
        <w:t xml:space="preserve">5 000 abonnés payants en fin d'année 1 (mix Digital, Combo, Entreprise)</w:t>
      </w:r>
    </w:p>
    <w:p>
      <w:pPr>
        <w:pStyle w:val="ListParagraph"/>
        <w:numPr>
          <w:ilvl w:val="0"/>
          <w:numId w:val="2"/>
        </w:numPr>
        <w:spacing w:after="60"/>
      </w:pPr>
      <w:r>
        <w:t xml:space="preserve">150 000 visiteurs uniques mensuels sur le site</w:t>
      </w:r>
    </w:p>
    <w:p>
      <w:pPr>
        <w:pStyle w:val="ListParagraph"/>
        <w:numPr>
          <w:ilvl w:val="0"/>
          <w:numId w:val="2"/>
        </w:numPr>
        <w:spacing w:after="60"/>
      </w:pPr>
      <w:r>
        <w:t xml:space="preserve">Churn annuel inférieur à 25 %</w:t>
      </w:r>
    </w:p>
    <w:p>
      <w:pPr>
        <w:pStyle w:val="ListParagraph"/>
        <w:numPr>
          <w:ilvl w:val="0"/>
          <w:numId w:val="2"/>
        </w:numPr>
        <w:spacing w:after="60"/>
      </w:pPr>
      <w:r>
        <w:t xml:space="preserve">Taux d'ouverture newsletter supérieur à 35 %</w:t>
      </w:r>
    </w:p>
    <w:p>
      <w:pPr>
        <w:pStyle w:val="ListParagraph"/>
        <w:numPr>
          <w:ilvl w:val="0"/>
          <w:numId w:val="2"/>
        </w:numPr>
        <w:spacing w:after="60"/>
      </w:pPr>
      <w:r>
        <w:t xml:space="preserve">Durée moyenne de lecture d'un article supérieure à 4 minutes</w:t>
      </w:r>
    </w:p>
    <w:p>
      <w:pPr>
        <w:pStyle w:val="ListParagraph"/>
        <w:numPr>
          <w:ilvl w:val="0"/>
          <w:numId w:val="2"/>
        </w:numPr>
        <w:spacing w:after="60"/>
      </w:pPr>
      <w:r>
        <w:t xml:space="preserve">Taux de transformation du tunnel d'abonnement supérieur à 3 %</w:t>
      </w:r>
    </w:p>
    <w:p>
      <w:pPr>
        <w:pStyle w:val="ListParagraph"/>
        <w:numPr>
          <w:ilvl w:val="0"/>
          <w:numId w:val="2"/>
        </w:numPr>
        <w:spacing w:after="60"/>
      </w:pPr>
      <w:r>
        <w:t xml:space="preserve">Production éditoriale : 8 à 12 articles publiés par semaine</w:t>
      </w:r>
    </w:p>
    <w:p>
      <w:pPr>
        <w:pStyle w:val="Heading2"/>
        <w:spacing w:after="180" w:before="360"/>
      </w:pPr>
      <w:r>
        <w:t xml:space="preserve">3.3. Modèle économique</w:t>
      </w:r>
    </w:p>
    <w:p>
      <w:pPr>
        <w:spacing w:after="120"/>
        <w:jc w:val="both"/>
      </w:pPr>
      <w:r>
        <w:t xml:space="preserve">Le modèle repose sur trois sources de revenus complémentaires :</w:t>
      </w:r>
    </w:p>
    <w:p>
      <w:pPr>
        <w:pStyle w:val="ListParagraph"/>
        <w:numPr>
          <w:ilvl w:val="0"/>
          <w:numId w:val="2"/>
        </w:numPr>
        <w:spacing w:after="60"/>
      </w:pPr>
      <w:r>
        <w:rPr>
          <w:b/>
          <w:bCs/>
        </w:rPr>
        <w:t xml:space="preserve">Abonnements récurrents</w:t>
      </w:r>
      <w:r>
        <w:t xml:space="preserve"> (cœur) : 3 formules — Digital (24 000 FCFA/an), Combo Papier + Digital (48 000 FCFA/an), Entreprise à partir de 320 000 FCFA/an pour 10 licences.</w:t>
      </w:r>
    </w:p>
    <w:p>
      <w:pPr>
        <w:pStyle w:val="ListParagraph"/>
        <w:numPr>
          <w:ilvl w:val="0"/>
          <w:numId w:val="2"/>
        </w:numPr>
        <w:spacing w:after="60"/>
      </w:pPr>
      <w:r>
        <w:rPr>
          <w:b/>
          <w:bCs/>
        </w:rPr>
        <w:t xml:space="preserve">Ventes à l'unité</w:t>
      </w:r>
      <w:r>
        <w:t xml:space="preserve"> : numéros papier et PDF accessibles aux non-abonnés, ainsi qu'articles premium achetables à l'unité (revenu d'appoint).</w:t>
      </w:r>
    </w:p>
    <w:p>
      <w:pPr>
        <w:pStyle w:val="ListParagraph"/>
        <w:numPr>
          <w:ilvl w:val="0"/>
          <w:numId w:val="2"/>
        </w:numPr>
        <w:spacing w:after="60"/>
      </w:pPr>
      <w:r>
        <w:rPr>
          <w:b/>
          <w:bCs/>
        </w:rPr>
        <w:t xml:space="preserve">Partenariats &amp; contenus sponsorisés</w:t>
      </w:r>
      <w:r>
        <w:t xml:space="preserve"> : dossiers sponsorisés clairement identifiés, bannières, études sectorielles commanditées (respect strict des obligations de transparence).</w:t>
      </w:r>
    </w:p>
    <w:p>
      <w:r>
        <w:br w:type="page"/>
      </w:r>
    </w:p>
    <w:p>
      <w:pPr>
        <w:pStyle w:val="Heading1"/>
        <w:spacing w:after="240" w:before="480"/>
      </w:pPr>
      <w:r>
        <w:t xml:space="preserve">4. Acteurs et rôles</w:t>
      </w:r>
    </w:p>
    <w:p>
      <w:pPr>
        <w:spacing w:after="120"/>
        <w:jc w:val="both"/>
      </w:pPr>
      <w:r>
        <w:t xml:space="preserve">Le système distingue 10 rôles, répartis entre les utilisateurs frontend (visiteurs et abonnés selon 3 formules) et les utilisateurs backoffice (rédaction, commerce, administration). La matrice de droits complète est disponible dans la feuille "Acteurs &amp; Rôles" du fichier Excel.</w:t>
      </w:r>
    </w:p>
    <w:p>
      <w:pPr>
        <w:pStyle w:val="Heading2"/>
        <w:spacing w:after="180" w:before="360"/>
      </w:pPr>
      <w:r>
        <w:t xml:space="preserve">4.1. Utilisateurs du frontend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6000"/>
      </w:tblGrid>
      <w:tr>
        <w:trPr>
          <w:tblHeader/>
        </w:trPr>
        <w:tc>
          <w:tcPr>
            <w:tcW w:type="dxa" w:w="9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Code</w:t>
            </w:r>
          </w:p>
        </w:tc>
        <w:tc>
          <w:tcPr>
            <w:tcW w:type="dxa" w:w="21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Rôle</w:t>
            </w:r>
          </w:p>
        </w:tc>
        <w:tc>
          <w:tcPr>
            <w:tcW w:type="dxa" w:w="60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Description du périmètre</w:t>
            </w:r>
          </w:p>
        </w:tc>
      </w:tr>
      <w:tr>
        <w:tc>
          <w:tcPr>
            <w:tcW w:type="dxa" w:w="9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VIS</w:t>
            </w:r>
          </w:p>
        </w:tc>
        <w:tc>
          <w:tcPr>
            <w:tcW w:type="dxa" w:w="21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Visiteur</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Navigation libre, lecture des articles en accès ouvert, consultation des extraits payants, inscription à la newsletter, souscription à un abonnement.</w:t>
            </w:r>
          </w:p>
        </w:tc>
      </w:tr>
      <w:tr>
        <w:tc>
          <w:tcPr>
            <w:tcW w:type="dxa" w:w="9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AB-D</w:t>
            </w:r>
          </w:p>
        </w:tc>
        <w:tc>
          <w:tcPr>
            <w:tcW w:type="dxa" w:w="21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Abonné Digital</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Accès illimité aux articles premium, lecture et téléchargement des numéros PDF, newsletter premium, espace abonné complet.</w:t>
            </w:r>
          </w:p>
        </w:tc>
      </w:tr>
      <w:tr>
        <w:tc>
          <w:tcPr>
            <w:tcW w:type="dxa" w:w="9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AB-C</w:t>
            </w:r>
          </w:p>
        </w:tc>
        <w:tc>
          <w:tcPr>
            <w:tcW w:type="dxa" w:w="21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Abonné Combo</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Tous les droits AB-D + livraison du magazine papier à domicile + 2 invitations par an aux événements GM Days.</w:t>
            </w:r>
          </w:p>
        </w:tc>
      </w:tr>
      <w:tr>
        <w:tc>
          <w:tcPr>
            <w:tcW w:type="dxa" w:w="9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AB-E</w:t>
            </w:r>
          </w:p>
        </w:tc>
        <w:tc>
          <w:tcPr>
            <w:tcW w:type="dxa" w:w="21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Abonné Entreprise</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10 licences nominatives + reporting d'usage + account manager dédié + études sectorielles complètes.</w:t>
            </w:r>
          </w:p>
        </w:tc>
      </w:tr>
    </w:tbl>
    <w:p>
      <w:pPr>
        <w:pStyle w:val="Heading2"/>
        <w:spacing w:after="180" w:before="360"/>
      </w:pPr>
      <w:r>
        <w:t xml:space="preserve">4.2. Utilisateurs du backoffice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700"/>
      </w:tblGrid>
      <w:tr>
        <w:trPr>
          <w:tblHeader/>
        </w:trPr>
        <w:tc>
          <w:tcPr>
            <w:tcW w:type="dxa" w:w="9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Code</w:t>
            </w:r>
          </w:p>
        </w:tc>
        <w:tc>
          <w:tcPr>
            <w:tcW w:type="dxa" w:w="24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Rôle</w:t>
            </w:r>
          </w:p>
        </w:tc>
        <w:tc>
          <w:tcPr>
            <w:tcW w:type="dxa" w:w="57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Description du périmètre</w:t>
            </w:r>
          </w:p>
        </w:tc>
      </w:tr>
      <w:tr>
        <w:tc>
          <w:tcPr>
            <w:tcW w:type="dxa" w:w="9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RED</w:t>
            </w:r>
          </w:p>
        </w:tc>
        <w:tc>
          <w:tcPr>
            <w:tcW w:type="dxa" w:w="2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Rédacteur</w:t>
            </w:r>
          </w:p>
        </w:tc>
        <w:tc>
          <w:tcPr>
            <w:tcW w:type="dxa" w:w="5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Rédiger, illustrer et soumettre ses propres articles à relecture.</w:t>
            </w:r>
          </w:p>
        </w:tc>
      </w:tr>
      <w:tr>
        <w:tc>
          <w:tcPr>
            <w:tcW w:type="dxa" w:w="9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CHEF</w:t>
            </w:r>
          </w:p>
        </w:tc>
        <w:tc>
          <w:tcPr>
            <w:tcW w:type="dxa" w:w="2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Rédacteur en chef</w:t>
            </w:r>
          </w:p>
        </w:tc>
        <w:tc>
          <w:tcPr>
            <w:tcW w:type="dxa" w:w="5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Relire, valider, publier, planifier les contenus de l'ensemble des rédacteurs.</w:t>
            </w:r>
          </w:p>
        </w:tc>
      </w:tr>
      <w:tr>
        <w:tc>
          <w:tcPr>
            <w:tcW w:type="dxa" w:w="9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EDIT</w:t>
            </w:r>
          </w:p>
        </w:tc>
        <w:tc>
          <w:tcPr>
            <w:tcW w:type="dxa" w:w="2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Administrateur éditorial</w:t>
            </w:r>
          </w:p>
        </w:tc>
        <w:tc>
          <w:tcPr>
            <w:tcW w:type="dxa" w:w="5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Superviser la rédaction : gérer auteurs, taxonomies, médias, numéros magazine, modération.</w:t>
            </w:r>
          </w:p>
        </w:tc>
      </w:tr>
      <w:tr>
        <w:tc>
          <w:tcPr>
            <w:tcW w:type="dxa" w:w="9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COM</w:t>
            </w:r>
          </w:p>
        </w:tc>
        <w:tc>
          <w:tcPr>
            <w:tcW w:type="dxa" w:w="2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Gestionnaire commercial</w:t>
            </w:r>
          </w:p>
        </w:tc>
        <w:tc>
          <w:tcPr>
            <w:tcW w:type="dxa" w:w="5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Piloter les abonnements, la relation client (CRM), les commandes, la facturation et les campagnes newsletter.</w:t>
            </w:r>
          </w:p>
        </w:tc>
      </w:tr>
      <w:tr>
        <w:tc>
          <w:tcPr>
            <w:tcW w:type="dxa" w:w="9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ADM</w:t>
            </w:r>
          </w:p>
        </w:tc>
        <w:tc>
          <w:tcPr>
            <w:tcW w:type="dxa" w:w="2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Administrateur système</w:t>
            </w:r>
          </w:p>
        </w:tc>
        <w:tc>
          <w:tcPr>
            <w:tcW w:type="dxa" w:w="5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Gérer les comptes backoffice, les rôles, les paramètres techniques, les intégrations.</w:t>
            </w:r>
          </w:p>
        </w:tc>
      </w:tr>
      <w:tr>
        <w:tc>
          <w:tcPr>
            <w:tcW w:type="dxa" w:w="9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SUP</w:t>
            </w:r>
          </w:p>
        </w:tc>
        <w:tc>
          <w:tcPr>
            <w:tcW w:type="dxa" w:w="2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Super administrateur</w:t>
            </w:r>
          </w:p>
        </w:tc>
        <w:tc>
          <w:tcPr>
            <w:tcW w:type="dxa" w:w="5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Accès total à la plateforme, gouvernance globale, configuration maître.</w:t>
            </w:r>
          </w:p>
        </w:tc>
      </w:tr>
    </w:tbl>
    <w:p>
      <w:r>
        <w:br w:type="page"/>
      </w:r>
    </w:p>
    <w:p>
      <w:pPr>
        <w:pStyle w:val="Heading1"/>
        <w:spacing w:after="240" w:before="480"/>
      </w:pPr>
      <w:r>
        <w:t xml:space="preserve">5. Architecture fonctionnelle</w:t>
      </w:r>
    </w:p>
    <w:p>
      <w:pPr>
        <w:spacing w:after="120"/>
        <w:jc w:val="both"/>
      </w:pPr>
      <w:r>
        <w:t xml:space="preserve">L'architecture fonctionnelle organise la plateforme en 22 épiques regroupés en trois blocs complémentaires : le backoffice (15 épiques), le frontend (5 épiques) et le socle transverse (2 épiques). Chaque épique encapsule une responsabilité claire et peut évoluer indépendamment.</w:t>
      </w:r>
    </w:p>
    <w:p>
      <w:pPr>
        <w:pStyle w:val="Heading2"/>
        <w:spacing w:after="180" w:before="360"/>
      </w:pPr>
      <w:r>
        <w:t xml:space="preserve">5.1. Vue d'ensemble des blocs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600"/>
      </w:tblGrid>
      <w:tr>
        <w:trPr>
          <w:tblHeader/>
        </w:trPr>
        <w:tc>
          <w:tcPr>
            <w:tcW w:type="dxa" w:w="20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Bloc</w:t>
            </w:r>
          </w:p>
        </w:tc>
        <w:tc>
          <w:tcPr>
            <w:tcW w:type="dxa" w:w="14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Nb épiques</w:t>
            </w:r>
          </w:p>
        </w:tc>
        <w:tc>
          <w:tcPr>
            <w:tcW w:type="dxa" w:w="56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Responsabilité principale</w:t>
            </w:r>
          </w:p>
        </w:tc>
      </w:tr>
      <w:tr>
        <w:tc>
          <w:tcPr>
            <w:tcW w:type="dxa" w:w="20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left"/>
            </w:pPr>
            <w:r>
              <w:rPr>
                <w:b/>
                <w:bCs/>
                <w:color w:val="FFFFFF"/>
                <w:sz w:val="20"/>
                <w:szCs w:val="20"/>
              </w:rPr>
              <w:t xml:space="preserve">Backoffice</w:t>
            </w:r>
          </w:p>
        </w:tc>
        <w:tc>
          <w:tcPr>
            <w:tcW w:type="dxa" w:w="1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center"/>
            </w:pPr>
            <w:r>
              <w:rPr>
                <w:b/>
                <w:bCs/>
                <w:sz w:val="20"/>
                <w:szCs w:val="20"/>
              </w:rPr>
              <w:t xml:space="preserve">15</w:t>
            </w:r>
          </w:p>
        </w:tc>
        <w:tc>
          <w:tcPr>
            <w:tcW w:type="dxa" w:w="5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Production éditoriale, gestion du magazine, gestion commerciale, administration système.</w:t>
            </w:r>
          </w:p>
        </w:tc>
      </w:tr>
      <w:tr>
        <w:tc>
          <w:tcPr>
            <w:tcW w:type="dxa" w:w="2000"/>
            <w:tcBorders>
              <w:top w:val="single" w:color="CCCCCC" w:sz="4"/>
              <w:left w:val="single" w:color="CCCCCC" w:sz="4"/>
              <w:bottom w:val="single" w:color="CCCCCC" w:sz="4"/>
              <w:right w:val="single" w:color="CCCCCC" w:sz="4"/>
            </w:tcBorders>
            <w:shd w:fill="2D2D2D" w:val="clear"/>
            <w:tcMar>
              <w:top w:type="dxa" w:w="100"/>
              <w:left w:type="dxa" w:w="140"/>
              <w:bottom w:type="dxa" w:w="100"/>
              <w:right w:type="dxa" w:w="140"/>
            </w:tcMar>
            <w:vAlign w:val="center"/>
          </w:tcPr>
          <w:p>
            <w:pPr>
              <w:jc w:val="left"/>
            </w:pPr>
            <w:r>
              <w:rPr>
                <w:b/>
                <w:bCs/>
                <w:color w:val="FFFFFF"/>
                <w:sz w:val="20"/>
                <w:szCs w:val="20"/>
              </w:rPr>
              <w:t xml:space="preserve">Frontend</w:t>
            </w:r>
          </w:p>
        </w:tc>
        <w:tc>
          <w:tcPr>
            <w:tcW w:type="dxa" w:w="1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center"/>
            </w:pPr>
            <w:r>
              <w:rPr>
                <w:b/>
                <w:bCs/>
                <w:sz w:val="20"/>
                <w:szCs w:val="20"/>
              </w:rPr>
              <w:t xml:space="preserve">5</w:t>
            </w:r>
          </w:p>
        </w:tc>
        <w:tc>
          <w:tcPr>
            <w:tcW w:type="dxa" w:w="5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Consultation des contenus par les visiteurs et abonnés, tunnel d'abonnement et de paiement, espace abonné.</w:t>
            </w:r>
          </w:p>
        </w:tc>
      </w:tr>
      <w:tr>
        <w:tc>
          <w:tcPr>
            <w:tcW w:type="dxa" w:w="2000"/>
            <w:tcBorders>
              <w:top w:val="single" w:color="CCCCCC" w:sz="4"/>
              <w:left w:val="single" w:color="CCCCCC" w:sz="4"/>
              <w:bottom w:val="single" w:color="CCCCCC" w:sz="4"/>
              <w:right w:val="single" w:color="CCCCCC" w:sz="4"/>
            </w:tcBorders>
            <w:shd w:fill="4B4B4B" w:val="clear"/>
            <w:tcMar>
              <w:top w:type="dxa" w:w="100"/>
              <w:left w:type="dxa" w:w="140"/>
              <w:bottom w:type="dxa" w:w="100"/>
              <w:right w:type="dxa" w:w="140"/>
            </w:tcMar>
            <w:vAlign w:val="center"/>
          </w:tcPr>
          <w:p>
            <w:pPr>
              <w:jc w:val="left"/>
            </w:pPr>
            <w:r>
              <w:rPr>
                <w:b/>
                <w:bCs/>
                <w:color w:val="FFFFFF"/>
                <w:sz w:val="20"/>
                <w:szCs w:val="20"/>
              </w:rPr>
              <w:t xml:space="preserve">Transverse</w:t>
            </w:r>
          </w:p>
        </w:tc>
        <w:tc>
          <w:tcPr>
            <w:tcW w:type="dxa" w:w="1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center"/>
            </w:pPr>
            <w:r>
              <w:rPr>
                <w:b/>
                <w:bCs/>
                <w:sz w:val="20"/>
                <w:szCs w:val="20"/>
              </w:rPr>
              <w:t xml:space="preserve">2</w:t>
            </w:r>
          </w:p>
        </w:tc>
        <w:tc>
          <w:tcPr>
            <w:tcW w:type="dxa" w:w="5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SEO, performance, cache, sécurité, conformité, accessibilité — socle qui irrigue tous les autres blocs.</w:t>
            </w:r>
          </w:p>
        </w:tc>
      </w:tr>
    </w:tbl>
    <w:p>
      <w:pPr>
        <w:pStyle w:val="Heading2"/>
        <w:spacing w:after="180" w:before="360"/>
      </w:pPr>
      <w:r>
        <w:t xml:space="preserve">5.2. Épiques du backoffice</w:t>
      </w:r>
    </w:p>
    <w:p>
      <w:pPr>
        <w:spacing w:after="120"/>
        <w:jc w:val="both"/>
      </w:pPr>
      <w:r>
        <w:t xml:space="preserve">Les 15 épiques du backoffice couvrent l'intégralité de la chaîne de production éditoriale et commerciale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000"/>
      </w:tblGrid>
      <w:tr>
        <w:trPr>
          <w:tblHeader/>
        </w:trPr>
        <w:tc>
          <w:tcPr>
            <w:tcW w:type="dxa" w:w="10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ID</w:t>
            </w:r>
          </w:p>
        </w:tc>
        <w:tc>
          <w:tcPr>
            <w:tcW w:type="dxa" w:w="30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Épique</w:t>
            </w:r>
          </w:p>
        </w:tc>
        <w:tc>
          <w:tcPr>
            <w:tcW w:type="dxa" w:w="50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Résumé</w:t>
            </w:r>
          </w:p>
        </w:tc>
      </w:tr>
      <w:tr>
        <w:tc>
          <w:tcPr>
            <w:tcW w:type="dxa" w:w="10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center"/>
            </w:pPr>
            <w:r>
              <w:rPr>
                <w:b/>
                <w:bCs/>
                <w:sz w:val="20"/>
                <w:szCs w:val="20"/>
              </w:rPr>
              <w:t xml:space="preserve">EP-01</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sz w:val="20"/>
                <w:szCs w:val="20"/>
              </w:rPr>
              <w:t xml:space="preserve">Gestion des utilisateurs &amp; rôles</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Comptes backoffice, rôles, permissions, sessions, 2FA.</w:t>
            </w:r>
          </w:p>
        </w:tc>
      </w:tr>
      <w:tr>
        <w:tc>
          <w:tcPr>
            <w:tcW w:type="dxa" w:w="10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center"/>
            </w:pPr>
            <w:r>
              <w:rPr>
                <w:b/>
                <w:bCs/>
                <w:sz w:val="20"/>
                <w:szCs w:val="20"/>
              </w:rPr>
              <w:t xml:space="preserve">EP-02</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sz w:val="20"/>
                <w:szCs w:val="20"/>
              </w:rPr>
              <w:t xml:space="preserve">Gestion éditoriale — Articles</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CRUD d'articles, éditeur riche WYSIWYG, médias, métadonnées SEO, versions.</w:t>
            </w:r>
          </w:p>
        </w:tc>
      </w:tr>
      <w:tr>
        <w:tc>
          <w:tcPr>
            <w:tcW w:type="dxa" w:w="10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center"/>
            </w:pPr>
            <w:r>
              <w:rPr>
                <w:b/>
                <w:bCs/>
                <w:sz w:val="20"/>
                <w:szCs w:val="20"/>
              </w:rPr>
              <w:t xml:space="preserve">EP-03</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sz w:val="20"/>
                <w:szCs w:val="20"/>
              </w:rPr>
              <w:t xml:space="preserve">Workflow éditorial</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Brouillon → relecture → validation → planification → publication → archivage.</w:t>
            </w:r>
          </w:p>
        </w:tc>
      </w:tr>
      <w:tr>
        <w:tc>
          <w:tcPr>
            <w:tcW w:type="dxa" w:w="10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center"/>
            </w:pPr>
            <w:r>
              <w:rPr>
                <w:b/>
                <w:bCs/>
                <w:sz w:val="20"/>
                <w:szCs w:val="20"/>
              </w:rPr>
              <w:t xml:space="preserve">EP-04</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sz w:val="20"/>
                <w:szCs w:val="20"/>
              </w:rPr>
              <w:t xml:space="preserve">Gestion des taxonomies</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Rubriques, sous-rubriques, tags, catégories, slugs, redirections.</w:t>
            </w:r>
          </w:p>
        </w:tc>
      </w:tr>
      <w:tr>
        <w:tc>
          <w:tcPr>
            <w:tcW w:type="dxa" w:w="10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center"/>
            </w:pPr>
            <w:r>
              <w:rPr>
                <w:b/>
                <w:bCs/>
                <w:sz w:val="20"/>
                <w:szCs w:val="20"/>
              </w:rPr>
              <w:t xml:space="preserve">EP-05</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sz w:val="20"/>
                <w:szCs w:val="20"/>
              </w:rPr>
              <w:t xml:space="preserve">Gestion des médias</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Bibliothèque centralisée, upload, transformations auto, métadonnées.</w:t>
            </w:r>
          </w:p>
        </w:tc>
      </w:tr>
      <w:tr>
        <w:tc>
          <w:tcPr>
            <w:tcW w:type="dxa" w:w="10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center"/>
            </w:pPr>
            <w:r>
              <w:rPr>
                <w:b/>
                <w:bCs/>
                <w:sz w:val="20"/>
                <w:szCs w:val="20"/>
              </w:rPr>
              <w:t xml:space="preserve">EP-06</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sz w:val="20"/>
                <w:szCs w:val="20"/>
              </w:rPr>
              <w:t xml:space="preserve">Gestion des numéros magazine</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Numéros papier/PDF, sommaire, couverture, stock, archives.</w:t>
            </w:r>
          </w:p>
        </w:tc>
      </w:tr>
      <w:tr>
        <w:tc>
          <w:tcPr>
            <w:tcW w:type="dxa" w:w="10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center"/>
            </w:pPr>
            <w:r>
              <w:rPr>
                <w:b/>
                <w:bCs/>
                <w:sz w:val="20"/>
                <w:szCs w:val="20"/>
              </w:rPr>
              <w:t xml:space="preserve">EP-07</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sz w:val="20"/>
                <w:szCs w:val="20"/>
              </w:rPr>
              <w:t xml:space="preserve">Abonnements &amp; offres commerciales</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Formules, tarifs, codes promo, périodes d'essai, renouvellement auto.</w:t>
            </w:r>
          </w:p>
        </w:tc>
      </w:tr>
      <w:tr>
        <w:tc>
          <w:tcPr>
            <w:tcW w:type="dxa" w:w="10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center"/>
            </w:pPr>
            <w:r>
              <w:rPr>
                <w:b/>
                <w:bCs/>
                <w:sz w:val="20"/>
                <w:szCs w:val="20"/>
              </w:rPr>
              <w:t xml:space="preserve">EP-08</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sz w:val="20"/>
                <w:szCs w:val="20"/>
              </w:rPr>
              <w:t xml:space="preserve">Gestion des abonnés (CRM)</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Base abonnés, segmentation, relances, licences Entreprise.</w:t>
            </w:r>
          </w:p>
        </w:tc>
      </w:tr>
      <w:tr>
        <w:tc>
          <w:tcPr>
            <w:tcW w:type="dxa" w:w="10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center"/>
            </w:pPr>
            <w:r>
              <w:rPr>
                <w:b/>
                <w:bCs/>
                <w:sz w:val="20"/>
                <w:szCs w:val="20"/>
              </w:rPr>
              <w:t xml:space="preserve">EP-09</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sz w:val="20"/>
                <w:szCs w:val="20"/>
              </w:rPr>
              <w:t xml:space="preserve">Paywall &amp; règles d'accès</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Niveaux d'accès par article, freemium, achat à l'unité.</w:t>
            </w:r>
          </w:p>
        </w:tc>
      </w:tr>
      <w:tr>
        <w:tc>
          <w:tcPr>
            <w:tcW w:type="dxa" w:w="10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center"/>
            </w:pPr>
            <w:r>
              <w:rPr>
                <w:b/>
                <w:bCs/>
                <w:sz w:val="20"/>
                <w:szCs w:val="20"/>
              </w:rPr>
              <w:t xml:space="preserve">EP-10</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sz w:val="20"/>
                <w:szCs w:val="20"/>
              </w:rPr>
              <w:t xml:space="preserve">Newsletter &amp; campagnes</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Listes, templates, campagnes, A/B testing, statistiques.</w:t>
            </w:r>
          </w:p>
        </w:tc>
      </w:tr>
      <w:tr>
        <w:tc>
          <w:tcPr>
            <w:tcW w:type="dxa" w:w="10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center"/>
            </w:pPr>
            <w:r>
              <w:rPr>
                <w:b/>
                <w:bCs/>
                <w:sz w:val="20"/>
                <w:szCs w:val="20"/>
              </w:rPr>
              <w:t xml:space="preserve">EP-11</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sz w:val="20"/>
                <w:szCs w:val="20"/>
              </w:rPr>
              <w:t xml:space="preserve">Commandes &amp; facturation</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Commandes, factures PDF, relances, remboursements, rapports.</w:t>
            </w:r>
          </w:p>
        </w:tc>
      </w:tr>
      <w:tr>
        <w:tc>
          <w:tcPr>
            <w:tcW w:type="dxa" w:w="10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center"/>
            </w:pPr>
            <w:r>
              <w:rPr>
                <w:b/>
                <w:bCs/>
                <w:sz w:val="20"/>
                <w:szCs w:val="20"/>
              </w:rPr>
              <w:t xml:space="preserve">EP-12</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sz w:val="20"/>
                <w:szCs w:val="20"/>
              </w:rPr>
              <w:t xml:space="preserve">Modération &amp; interactions</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Commentaires, modération, signalements, bannissements.</w:t>
            </w:r>
          </w:p>
        </w:tc>
      </w:tr>
      <w:tr>
        <w:tc>
          <w:tcPr>
            <w:tcW w:type="dxa" w:w="10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center"/>
            </w:pPr>
            <w:r>
              <w:rPr>
                <w:b/>
                <w:bCs/>
                <w:sz w:val="20"/>
                <w:szCs w:val="20"/>
              </w:rPr>
              <w:t xml:space="preserve">EP-13</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sz w:val="20"/>
                <w:szCs w:val="20"/>
              </w:rPr>
              <w:t xml:space="preserve">Dashboards &amp; analytics</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Dashboards personnalisés par rôle, analytics articles et abonnés.</w:t>
            </w:r>
          </w:p>
        </w:tc>
      </w:tr>
      <w:tr>
        <w:tc>
          <w:tcPr>
            <w:tcW w:type="dxa" w:w="10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center"/>
            </w:pPr>
            <w:r>
              <w:rPr>
                <w:b/>
                <w:bCs/>
                <w:sz w:val="20"/>
                <w:szCs w:val="20"/>
              </w:rPr>
              <w:t xml:space="preserve">EP-14</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sz w:val="20"/>
                <w:szCs w:val="20"/>
              </w:rPr>
              <w:t xml:space="preserve">Audit &amp; journalisation</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Journal horodaté des actions sensibles, recherche, export.</w:t>
            </w:r>
          </w:p>
        </w:tc>
      </w:tr>
      <w:tr>
        <w:tc>
          <w:tcPr>
            <w:tcW w:type="dxa" w:w="10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center"/>
            </w:pPr>
            <w:r>
              <w:rPr>
                <w:b/>
                <w:bCs/>
                <w:sz w:val="20"/>
                <w:szCs w:val="20"/>
              </w:rPr>
              <w:t xml:space="preserve">EP-15</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sz w:val="20"/>
                <w:szCs w:val="20"/>
              </w:rPr>
              <w:t xml:space="preserve">Paramètres de la plateforme</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Paramètres globaux, pages légales, bannières, SMTP, SEO global.</w:t>
            </w:r>
          </w:p>
        </w:tc>
      </w:tr>
    </w:tbl>
    <w:p>
      <w:pPr>
        <w:pStyle w:val="Heading2"/>
        <w:spacing w:after="180" w:before="360"/>
      </w:pPr>
      <w:r>
        <w:t xml:space="preserve">5.3. Épiques du frontend</w:t>
      </w:r>
    </w:p>
    <w:p>
      <w:pPr>
        <w:spacing w:after="120"/>
        <w:jc w:val="both"/>
      </w:pPr>
      <w:r>
        <w:t xml:space="preserve">Les 5 épiques du frontend structurent l'expérience du visiteur et de l'abonné, de la découverte à la fidélisation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000"/>
      </w:tblGrid>
      <w:tr>
        <w:trPr>
          <w:tblHeader/>
        </w:trPr>
        <w:tc>
          <w:tcPr>
            <w:tcW w:type="dxa" w:w="10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ID</w:t>
            </w:r>
          </w:p>
        </w:tc>
        <w:tc>
          <w:tcPr>
            <w:tcW w:type="dxa" w:w="30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Épique</w:t>
            </w:r>
          </w:p>
        </w:tc>
        <w:tc>
          <w:tcPr>
            <w:tcW w:type="dxa" w:w="50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Résumé</w:t>
            </w:r>
          </w:p>
        </w:tc>
      </w:tr>
      <w:tr>
        <w:tc>
          <w:tcPr>
            <w:tcW w:type="dxa" w:w="10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center"/>
            </w:pPr>
            <w:r>
              <w:rPr>
                <w:b/>
                <w:bCs/>
                <w:sz w:val="20"/>
                <w:szCs w:val="20"/>
              </w:rPr>
              <w:t xml:space="preserve">EP-16</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sz w:val="20"/>
                <w:szCs w:val="20"/>
              </w:rPr>
              <w:t xml:space="preserve">Accueil &amp; rubriques</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La Une, slider, fil d'actualités, choix de la rédaction, navigation rubriques avec filtres.</w:t>
            </w:r>
          </w:p>
        </w:tc>
      </w:tr>
      <w:tr>
        <w:tc>
          <w:tcPr>
            <w:tcW w:type="dxa" w:w="10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center"/>
            </w:pPr>
            <w:r>
              <w:rPr>
                <w:b/>
                <w:bCs/>
                <w:sz w:val="20"/>
                <w:szCs w:val="20"/>
              </w:rPr>
              <w:t xml:space="preserve">EP-17</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sz w:val="20"/>
                <w:szCs w:val="20"/>
              </w:rPr>
              <w:t xml:space="preserve">Consultation d'articles</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Page de lecture, sommaire auto, bio auteurs, suggestions, galeries.</w:t>
            </w:r>
          </w:p>
        </w:tc>
      </w:tr>
      <w:tr>
        <w:tc>
          <w:tcPr>
            <w:tcW w:type="dxa" w:w="10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center"/>
            </w:pPr>
            <w:r>
              <w:rPr>
                <w:b/>
                <w:bCs/>
                <w:sz w:val="20"/>
                <w:szCs w:val="20"/>
              </w:rPr>
              <w:t xml:space="preserve">EP-18</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sz w:val="20"/>
                <w:szCs w:val="20"/>
              </w:rPr>
              <w:t xml:space="preserve">Inscription, connexion &amp; compte abonné</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Inscription email/social, connexion, 2FA, espace abonné, droits RGPD.</w:t>
            </w:r>
          </w:p>
        </w:tc>
      </w:tr>
      <w:tr>
        <w:tc>
          <w:tcPr>
            <w:tcW w:type="dxa" w:w="10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center"/>
            </w:pPr>
            <w:r>
              <w:rPr>
                <w:b/>
                <w:bCs/>
                <w:sz w:val="20"/>
                <w:szCs w:val="20"/>
              </w:rPr>
              <w:t xml:space="preserve">EP-19</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sz w:val="20"/>
                <w:szCs w:val="20"/>
              </w:rPr>
              <w:t xml:space="preserve">Tunnel d'abonnement &amp; paiement</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Comparatif, checkout, paiement Mobile Money/carte, confirmation, renouvellement.</w:t>
            </w:r>
          </w:p>
        </w:tc>
      </w:tr>
      <w:tr>
        <w:tc>
          <w:tcPr>
            <w:tcW w:type="dxa" w:w="10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center"/>
            </w:pPr>
            <w:r>
              <w:rPr>
                <w:b/>
                <w:bCs/>
                <w:sz w:val="20"/>
                <w:szCs w:val="20"/>
              </w:rPr>
              <w:t xml:space="preserve">EP-20</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sz w:val="20"/>
                <w:szCs w:val="20"/>
              </w:rPr>
              <w:t xml:space="preserve">Boutique magazine &amp; lecture PDF</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Dernier numéro, archives, commande papier/PDF, viewer PDF protégé.</w:t>
            </w:r>
          </w:p>
        </w:tc>
      </w:tr>
    </w:tbl>
    <w:p>
      <w:pPr>
        <w:pStyle w:val="Heading2"/>
        <w:spacing w:after="180" w:before="360"/>
      </w:pPr>
      <w:r>
        <w:t xml:space="preserve">5.4. Épiques transverses</w:t>
      </w:r>
    </w:p>
    <w:p>
      <w:pPr>
        <w:spacing w:after="120"/>
        <w:jc w:val="both"/>
      </w:pPr>
      <w:r>
        <w:t xml:space="preserve">Les deux épiques transverses sont le socle indispensable qui irrigue toute la plateforme. Ils ne sont pas des modules visibles mais des exigences qui doivent être satisfaites à chaque développement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000"/>
      </w:tblGrid>
      <w:tr>
        <w:trPr>
          <w:tblHeader/>
        </w:trPr>
        <w:tc>
          <w:tcPr>
            <w:tcW w:type="dxa" w:w="10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ID</w:t>
            </w:r>
          </w:p>
        </w:tc>
        <w:tc>
          <w:tcPr>
            <w:tcW w:type="dxa" w:w="30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Épique</w:t>
            </w:r>
          </w:p>
        </w:tc>
        <w:tc>
          <w:tcPr>
            <w:tcW w:type="dxa" w:w="50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Résumé</w:t>
            </w:r>
          </w:p>
        </w:tc>
      </w:tr>
      <w:tr>
        <w:tc>
          <w:tcPr>
            <w:tcW w:type="dxa" w:w="10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center"/>
            </w:pPr>
            <w:r>
              <w:rPr>
                <w:b/>
                <w:bCs/>
                <w:sz w:val="20"/>
                <w:szCs w:val="20"/>
              </w:rPr>
              <w:t xml:space="preserve">EP-21</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sz w:val="20"/>
                <w:szCs w:val="20"/>
              </w:rPr>
              <w:t xml:space="preserve">SEO, performance &amp; partage social</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Sitemap, Open Graph, Schema.org, cache CDN, images optimisées, SSR, flux RSS.</w:t>
            </w:r>
          </w:p>
        </w:tc>
      </w:tr>
      <w:tr>
        <w:tc>
          <w:tcPr>
            <w:tcW w:type="dxa" w:w="10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center"/>
            </w:pPr>
            <w:r>
              <w:rPr>
                <w:b/>
                <w:bCs/>
                <w:sz w:val="20"/>
                <w:szCs w:val="20"/>
              </w:rPr>
              <w:t xml:space="preserve">EP-22</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sz w:val="20"/>
                <w:szCs w:val="20"/>
              </w:rPr>
              <w:t xml:space="preserve">Sécurité, conformité &amp; accessibilité</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OWASP Top 10, RGPD, loi 2013-450 CI, WCAG 2.1 AA, cookies, registre des traitements.</w:t>
            </w:r>
          </w:p>
        </w:tc>
      </w:tr>
    </w:tbl>
    <w:p>
      <w:r>
        <w:br w:type="page"/>
      </w:r>
    </w:p>
    <w:p>
      <w:pPr>
        <w:pStyle w:val="Heading1"/>
        <w:spacing w:after="240" w:before="480"/>
      </w:pPr>
      <w:r>
        <w:t xml:space="preserve">6. Architecture technique cible</w:t>
      </w:r>
    </w:p>
    <w:p>
      <w:pPr>
        <w:spacing w:after="120"/>
        <w:jc w:val="both"/>
      </w:pPr>
      <w:r>
        <w:t xml:space="preserve">L'architecture cible est pensée pour supporter la croissance (de 5 000 à 50 000 abonnés sur 3 ans), respecter les standards de sécurité et de performance, et permettre des évolutions indépendantes des modules. Les choix ci-dessous sont des recommandations, à arbitrer lors de la phase de cadrage technique.</w:t>
      </w:r>
    </w:p>
    <w:p>
      <w:pPr>
        <w:pStyle w:val="Heading2"/>
        <w:spacing w:after="180" w:before="360"/>
      </w:pPr>
      <w:r>
        <w:t xml:space="preserve">6.1. Principes structurants</w:t>
      </w:r>
    </w:p>
    <w:p>
      <w:pPr>
        <w:pStyle w:val="ListParagraph"/>
        <w:numPr>
          <w:ilvl w:val="0"/>
          <w:numId w:val="2"/>
        </w:numPr>
        <w:spacing w:after="60"/>
      </w:pPr>
      <w:r>
        <w:t xml:space="preserve">API-first : toutes les fonctionnalités du backoffice et du frontend reposent sur la même couche API, ce qui permet une future application mobile native sans refonte.</w:t>
      </w:r>
    </w:p>
    <w:p>
      <w:pPr>
        <w:pStyle w:val="ListParagraph"/>
        <w:numPr>
          <w:ilvl w:val="0"/>
          <w:numId w:val="2"/>
        </w:numPr>
        <w:spacing w:after="60"/>
      </w:pPr>
      <w:r>
        <w:t xml:space="preserve">Séparation stricte backoffice / frontend : deux applications distinctes, deux domaines, des authentifications séparées.</w:t>
      </w:r>
    </w:p>
    <w:p>
      <w:pPr>
        <w:pStyle w:val="ListParagraph"/>
        <w:numPr>
          <w:ilvl w:val="0"/>
          <w:numId w:val="2"/>
        </w:numPr>
        <w:spacing w:after="60"/>
      </w:pPr>
      <w:r>
        <w:t xml:space="preserve">SSR pour le frontend public : impératif pour le SEO d'une plateforme éditoriale. Rendu côté serveur avec ISR (Incremental Static Regeneration) pour les articles publiés.</w:t>
      </w:r>
    </w:p>
    <w:p>
      <w:pPr>
        <w:pStyle w:val="ListParagraph"/>
        <w:numPr>
          <w:ilvl w:val="0"/>
          <w:numId w:val="2"/>
        </w:numPr>
        <w:spacing w:after="60"/>
      </w:pPr>
      <w:r>
        <w:t xml:space="preserve">Stateless : aucune donnée de session sur les serveurs applicatifs — scalabilité horizontale facilitée.</w:t>
      </w:r>
    </w:p>
    <w:p>
      <w:pPr>
        <w:pStyle w:val="ListParagraph"/>
        <w:numPr>
          <w:ilvl w:val="0"/>
          <w:numId w:val="2"/>
        </w:numPr>
        <w:spacing w:after="60"/>
      </w:pPr>
      <w:r>
        <w:t xml:space="preserve">Infrastructure as code : tout l'environnement décrit en code (Terraform ou équivalent), reproductible.</w:t>
      </w:r>
    </w:p>
    <w:p>
      <w:pPr>
        <w:pStyle w:val="Heading2"/>
        <w:spacing w:after="180" w:before="360"/>
      </w:pPr>
      <w:r>
        <w:t xml:space="preserve">6.2. Stack technique recommandée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00"/>
      </w:tblGrid>
      <w:tr>
        <w:trPr>
          <w:tblHeader/>
        </w:trPr>
        <w:tc>
          <w:tcPr>
            <w:tcW w:type="dxa" w:w="24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Couche</w:t>
            </w:r>
          </w:p>
        </w:tc>
        <w:tc>
          <w:tcPr>
            <w:tcW w:type="dxa" w:w="32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Recommandation</w:t>
            </w:r>
          </w:p>
        </w:tc>
        <w:tc>
          <w:tcPr>
            <w:tcW w:type="dxa" w:w="34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Alternatives crédibles</w:t>
            </w:r>
          </w:p>
        </w:tc>
      </w:tr>
      <w:tr>
        <w:tc>
          <w:tcPr>
            <w:tcW w:type="dxa" w:w="2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Backend API</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NestJS (Node.js/TypeScript)</w:t>
            </w:r>
          </w:p>
        </w:tc>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18"/>
                <w:szCs w:val="18"/>
              </w:rPr>
              <w:t xml:space="preserve">Laravel (PHP), Django (Python), Spring Boot (Java)</w:t>
            </w:r>
          </w:p>
        </w:tc>
      </w:tr>
      <w:tr>
        <w:tc>
          <w:tcPr>
            <w:tcW w:type="dxa" w:w="2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Frontend public</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Next.js (React) en SSR/ISR</w:t>
            </w:r>
          </w:p>
        </w:tc>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18"/>
                <w:szCs w:val="18"/>
              </w:rPr>
              <w:t xml:space="preserve">Nuxt.js (Vue), Astro, SvelteKit</w:t>
            </w:r>
          </w:p>
        </w:tc>
      </w:tr>
      <w:tr>
        <w:tc>
          <w:tcPr>
            <w:tcW w:type="dxa" w:w="2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Frontend backoffice</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React + Vite (SPA protégée)</w:t>
            </w:r>
          </w:p>
        </w:tc>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18"/>
                <w:szCs w:val="18"/>
              </w:rPr>
              <w:t xml:space="preserve">Vue 3 + Vite, Angular</w:t>
            </w:r>
          </w:p>
        </w:tc>
      </w:tr>
      <w:tr>
        <w:tc>
          <w:tcPr>
            <w:tcW w:type="dxa" w:w="2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Base de données</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PostgreSQL 16</w:t>
            </w:r>
          </w:p>
        </w:tc>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18"/>
                <w:szCs w:val="18"/>
              </w:rPr>
              <w:t xml:space="preserve">MySQL 8, Oracle (si infra existante)</w:t>
            </w:r>
          </w:p>
        </w:tc>
      </w:tr>
      <w:tr>
        <w:tc>
          <w:tcPr>
            <w:tcW w:type="dxa" w:w="2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Cache / Queue</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Redis 7</w:t>
            </w:r>
          </w:p>
        </w:tc>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18"/>
                <w:szCs w:val="18"/>
              </w:rPr>
              <w:t xml:space="preserve">Memcached</w:t>
            </w:r>
          </w:p>
        </w:tc>
      </w:tr>
      <w:tr>
        <w:tc>
          <w:tcPr>
            <w:tcW w:type="dxa" w:w="2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Recherche</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MeiliSearch self-hosted</w:t>
            </w:r>
          </w:p>
        </w:tc>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18"/>
                <w:szCs w:val="18"/>
              </w:rPr>
              <w:t xml:space="preserve">Elasticsearch, Algolia (SaaS)</w:t>
            </w:r>
          </w:p>
        </w:tc>
      </w:tr>
      <w:tr>
        <w:tc>
          <w:tcPr>
            <w:tcW w:type="dxa" w:w="2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Stockage fichiers</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S3-compatible (AWS S3, Scaleway, MinIO)</w:t>
            </w:r>
          </w:p>
        </w:tc>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18"/>
                <w:szCs w:val="18"/>
              </w:rPr>
              <w:t xml:space="preserve">Stockage local avec rsync</w:t>
            </w:r>
          </w:p>
        </w:tc>
      </w:tr>
      <w:tr>
        <w:tc>
          <w:tcPr>
            <w:tcW w:type="dxa" w:w="2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CDN / Edge</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Cloudflare</w:t>
            </w:r>
          </w:p>
        </w:tc>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18"/>
                <w:szCs w:val="18"/>
              </w:rPr>
              <w:t xml:space="preserve">AWS CloudFront, Bunny.net</w:t>
            </w:r>
          </w:p>
        </w:tc>
      </w:tr>
      <w:tr>
        <w:tc>
          <w:tcPr>
            <w:tcW w:type="dxa" w:w="2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Email transactionnel</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SendGrid ou Mailjet</w:t>
            </w:r>
          </w:p>
        </w:tc>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18"/>
                <w:szCs w:val="18"/>
              </w:rPr>
              <w:t xml:space="preserve">AWS SES, Brevo</w:t>
            </w:r>
          </w:p>
        </w:tc>
      </w:tr>
      <w:tr>
        <w:tc>
          <w:tcPr>
            <w:tcW w:type="dxa" w:w="2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Email marketing</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Mailjet</w:t>
            </w:r>
          </w:p>
        </w:tc>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18"/>
                <w:szCs w:val="18"/>
              </w:rPr>
              <w:t xml:space="preserve">Brevo, Mailchimp</w:t>
            </w:r>
          </w:p>
        </w:tc>
      </w:tr>
      <w:tr>
        <w:tc>
          <w:tcPr>
            <w:tcW w:type="dxa" w:w="2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SMS</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API Orange CI ou InfoBip</w:t>
            </w:r>
          </w:p>
        </w:tc>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18"/>
                <w:szCs w:val="18"/>
              </w:rPr>
              <w:t xml:space="preserve">TextMe, Twilio</w:t>
            </w:r>
          </w:p>
        </w:tc>
      </w:tr>
      <w:tr>
        <w:tc>
          <w:tcPr>
            <w:tcW w:type="dxa" w:w="2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Paiement CI</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CinetPay (Mobile Money + Carte)</w:t>
            </w:r>
          </w:p>
        </w:tc>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18"/>
                <w:szCs w:val="18"/>
              </w:rPr>
              <w:t xml:space="preserve">PayDunya, Flutterwave</w:t>
            </w:r>
          </w:p>
        </w:tc>
      </w:tr>
      <w:tr>
        <w:tc>
          <w:tcPr>
            <w:tcW w:type="dxa" w:w="2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Authentification</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Keycloak ou auth custom JWT</w:t>
            </w:r>
          </w:p>
        </w:tc>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18"/>
                <w:szCs w:val="18"/>
              </w:rPr>
              <w:t xml:space="preserve">Auth0, Firebase Auth</w:t>
            </w:r>
          </w:p>
        </w:tc>
      </w:tr>
      <w:tr>
        <w:tc>
          <w:tcPr>
            <w:tcW w:type="dxa" w:w="2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Monitoring</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Sentry (erreurs) + Prometheus/Grafana</w:t>
            </w:r>
          </w:p>
        </w:tc>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18"/>
                <w:szCs w:val="18"/>
              </w:rPr>
              <w:t xml:space="preserve">Datadog, New Relic</w:t>
            </w:r>
          </w:p>
        </w:tc>
      </w:tr>
      <w:tr>
        <w:tc>
          <w:tcPr>
            <w:tcW w:type="dxa" w:w="2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Logs</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Grafana Loki</w:t>
            </w:r>
          </w:p>
        </w:tc>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18"/>
                <w:szCs w:val="18"/>
              </w:rPr>
              <w:t xml:space="preserve">ELK, Datadog Logs</w:t>
            </w:r>
          </w:p>
        </w:tc>
      </w:tr>
      <w:tr>
        <w:tc>
          <w:tcPr>
            <w:tcW w:type="dxa" w:w="2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CI/CD</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GitHub Actions ou GitLab CI</w:t>
            </w:r>
          </w:p>
        </w:tc>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18"/>
                <w:szCs w:val="18"/>
              </w:rPr>
              <w:t xml:space="preserve">Jenkins, CircleCI</w:t>
            </w:r>
          </w:p>
        </w:tc>
      </w:tr>
      <w:tr>
        <w:tc>
          <w:tcPr>
            <w:tcW w:type="dxa" w:w="2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Hébergement</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OVH ou Scaleway (FR), AWS eu-west-3</w:t>
            </w:r>
          </w:p>
        </w:tc>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18"/>
                <w:szCs w:val="18"/>
              </w:rPr>
              <w:t xml:space="preserve">Hébergeur local CI (si SLA suffisant)</w:t>
            </w:r>
          </w:p>
        </w:tc>
      </w:tr>
    </w:tbl>
    <w:p>
      <w:pPr>
        <w:pStyle w:val="Heading2"/>
        <w:spacing w:after="180" w:before="360"/>
      </w:pPr>
      <w:r>
        <w:t xml:space="preserve">6.3. Schéma de haut niveau</w:t>
      </w:r>
    </w:p>
    <w:p>
      <w:pPr>
        <w:spacing w:after="120"/>
        <w:jc w:val="both"/>
      </w:pPr>
      <w:r>
        <w:t xml:space="preserve">L'architecture logique se décompose en trois plans :</w:t>
      </w:r>
    </w:p>
    <w:p>
      <w:pPr>
        <w:pStyle w:val="ListParagraph"/>
        <w:numPr>
          <w:ilvl w:val="0"/>
          <w:numId w:val="2"/>
        </w:numPr>
        <w:spacing w:after="60"/>
      </w:pPr>
      <w:r>
        <w:rPr>
          <w:b/>
          <w:bCs/>
        </w:rPr>
        <w:t xml:space="preserve">Plan de présentation</w:t>
      </w:r>
      <w:r>
        <w:t xml:space="preserve"> : deux applications — frontend public (Next.js SSR, servi via CDN) et backoffice (SPA React, accès VPN ou restriction IP optionnelle).</w:t>
      </w:r>
    </w:p>
    <w:p>
      <w:pPr>
        <w:pStyle w:val="ListParagraph"/>
        <w:numPr>
          <w:ilvl w:val="0"/>
          <w:numId w:val="2"/>
        </w:numPr>
        <w:spacing w:after="60"/>
      </w:pPr>
      <w:r>
        <w:rPr>
          <w:b/>
          <w:bCs/>
        </w:rPr>
        <w:t xml:space="preserve">Plan applicatif</w:t>
      </w:r>
      <w:r>
        <w:t xml:space="preserve"> : API REST/GraphQL sur NestJS, authentification JWT, services spécialisés (articles, abonnements, paiement, newsletter). Traitements asynchrones via Redis + workers (envoi d'emails, génération PDF, analytics, relances).</w:t>
      </w:r>
    </w:p>
    <w:p>
      <w:pPr>
        <w:pStyle w:val="ListParagraph"/>
        <w:numPr>
          <w:ilvl w:val="0"/>
          <w:numId w:val="2"/>
        </w:numPr>
        <w:spacing w:after="60"/>
      </w:pPr>
      <w:r>
        <w:rPr>
          <w:b/>
          <w:bCs/>
        </w:rPr>
        <w:t xml:space="preserve">Plan données</w:t>
      </w:r>
      <w:r>
        <w:t xml:space="preserve"> : PostgreSQL primaire + replica en lecture, stockage objet S3-compatible pour les médias et PDF, cache Redis, index de recherche MeiliSearch.</w:t>
      </w:r>
    </w:p>
    <w:p>
      <w:pPr>
        <w:spacing w:after="120"/>
        <w:jc w:val="both"/>
      </w:pPr>
      <w:r>
        <w:t xml:space="preserve">Les intégrations externes (CinetPay pour le paiement, SendGrid pour l'email, Cloudflare pour le CDN, Sentry pour le monitoring) sont accédées via des adaptateurs dédiés dans l'API, ce qui facilite le changement de fournisseur si nécessaire.</w:t>
      </w:r>
    </w:p>
    <w:p>
      <w:pPr>
        <w:pStyle w:val="Heading2"/>
        <w:spacing w:after="180" w:before="360"/>
      </w:pPr>
      <w:r>
        <w:t xml:space="preserve">6.4. Environnements</w:t>
      </w:r>
    </w:p>
    <w:p>
      <w:pPr>
        <w:spacing w:after="120"/>
        <w:jc w:val="both"/>
      </w:pPr>
      <w:r>
        <w:t xml:space="preserve">Quatre environnements doivent être mis en place dès la phase MVP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00"/>
      </w:tblGrid>
      <w:tr>
        <w:trPr>
          <w:tblHeader/>
        </w:trPr>
        <w:tc>
          <w:tcPr>
            <w:tcW w:type="dxa" w:w="18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Environnement</w:t>
            </w:r>
          </w:p>
        </w:tc>
        <w:tc>
          <w:tcPr>
            <w:tcW w:type="dxa" w:w="24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Public</w:t>
            </w:r>
          </w:p>
        </w:tc>
        <w:tc>
          <w:tcPr>
            <w:tcW w:type="dxa" w:w="48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Usage</w:t>
            </w:r>
          </w:p>
        </w:tc>
      </w:tr>
      <w:tr>
        <w:tc>
          <w:tcPr>
            <w:tcW w:type="dxa" w:w="18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sz w:val="20"/>
                <w:szCs w:val="20"/>
              </w:rPr>
              <w:t xml:space="preserve">LOCAL</w:t>
            </w:r>
          </w:p>
        </w:tc>
        <w:tc>
          <w:tcPr>
            <w:tcW w:type="dxa" w:w="2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Développeurs</w:t>
            </w:r>
          </w:p>
        </w:tc>
        <w:tc>
          <w:tcPr>
            <w:tcW w:type="dxa" w:w="4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Environnement de développement sur poste, avec BD locale.</w:t>
            </w:r>
          </w:p>
        </w:tc>
      </w:tr>
      <w:tr>
        <w:tc>
          <w:tcPr>
            <w:tcW w:type="dxa" w:w="18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sz w:val="20"/>
                <w:szCs w:val="20"/>
              </w:rPr>
              <w:t xml:space="preserve">INT</w:t>
            </w:r>
          </w:p>
        </w:tc>
        <w:tc>
          <w:tcPr>
            <w:tcW w:type="dxa" w:w="2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Équipe technique</w:t>
            </w:r>
          </w:p>
        </w:tc>
        <w:tc>
          <w:tcPr>
            <w:tcW w:type="dxa" w:w="4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Intégration continue, validation des branches avant merge.</w:t>
            </w:r>
          </w:p>
        </w:tc>
      </w:tr>
      <w:tr>
        <w:tc>
          <w:tcPr>
            <w:tcW w:type="dxa" w:w="18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sz w:val="20"/>
                <w:szCs w:val="20"/>
              </w:rPr>
              <w:t xml:space="preserve">REC</w:t>
            </w:r>
          </w:p>
        </w:tc>
        <w:tc>
          <w:tcPr>
            <w:tcW w:type="dxa" w:w="2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Équipe produit + rédaction</w:t>
            </w:r>
          </w:p>
        </w:tc>
        <w:tc>
          <w:tcPr>
            <w:tcW w:type="dxa" w:w="4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Recette fonctionnelle, données de test, validation avant mise en prod.</w:t>
            </w:r>
          </w:p>
        </w:tc>
      </w:tr>
      <w:tr>
        <w:tc>
          <w:tcPr>
            <w:tcW w:type="dxa" w:w="18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sz w:val="20"/>
                <w:szCs w:val="20"/>
              </w:rPr>
              <w:t xml:space="preserve">PROD</w:t>
            </w:r>
          </w:p>
        </w:tc>
        <w:tc>
          <w:tcPr>
            <w:tcW w:type="dxa" w:w="2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Utilisateurs finaux</w:t>
            </w:r>
          </w:p>
        </w:tc>
        <w:tc>
          <w:tcPr>
            <w:tcW w:type="dxa" w:w="4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Production, données réelles, monitoring 24/7, sauvegardes quotidiennes.</w:t>
            </w:r>
          </w:p>
        </w:tc>
      </w:tr>
    </w:tbl>
    <w:p>
      <w:r>
        <w:br w:type="page"/>
      </w:r>
    </w:p>
    <w:p>
      <w:pPr>
        <w:pStyle w:val="Heading1"/>
        <w:spacing w:after="240" w:before="480"/>
      </w:pPr>
      <w:r>
        <w:t xml:space="preserve">7. Modèle de données</w:t>
      </w:r>
    </w:p>
    <w:p>
      <w:pPr>
        <w:spacing w:after="120"/>
        <w:jc w:val="both"/>
      </w:pPr>
      <w:r>
        <w:t xml:space="preserve">Le modèle de données conceptuel s'organise autour de 20 entités principales regroupées en cinq grands domaines. Seules les entités clés sont décrites ici ; la modélisation détaillée (clés, index, contraintes) sera produite lors de la conception technique.</w:t>
      </w:r>
    </w:p>
    <w:p>
      <w:pPr>
        <w:pStyle w:val="Heading2"/>
        <w:spacing w:after="180" w:before="360"/>
      </w:pPr>
      <w:r>
        <w:t xml:space="preserve">7.1. Domaine Identité &amp; accès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Entité</w:t>
            </w:r>
          </w:p>
        </w:tc>
        <w:tc>
          <w:tcPr>
            <w:tcW w:type="dxa" w:w="70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Description</w:t>
            </w:r>
          </w:p>
        </w:tc>
      </w:tr>
      <w:tr>
        <w:tc>
          <w:tcPr>
            <w:tcW w:type="dxa" w:w="20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User</w:t>
            </w:r>
          </w:p>
        </w:tc>
        <w:tc>
          <w:tcPr>
            <w:tcW w:type="dxa" w:w="7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Utilisateur (visiteur, abonné ou membre du backoffice). Attributs : id, email, password_hash, first_name, last_name, phone, type (abonné/backoffice), status, created_at, 2fa_enabled.</w:t>
            </w:r>
          </w:p>
        </w:tc>
      </w:tr>
      <w:tr>
        <w:tc>
          <w:tcPr>
            <w:tcW w:type="dxa" w:w="20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Role</w:t>
            </w:r>
          </w:p>
        </w:tc>
        <w:tc>
          <w:tcPr>
            <w:tcW w:type="dxa" w:w="7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Rôle fonctionnel (VIS, AB-D, AB-C, AB-E, RED, CHEF, EDIT, COM, ADM, SUP). Un utilisateur peut avoir plusieurs rôles.</w:t>
            </w:r>
          </w:p>
        </w:tc>
      </w:tr>
      <w:tr>
        <w:tc>
          <w:tcPr>
            <w:tcW w:type="dxa" w:w="20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Permission</w:t>
            </w:r>
          </w:p>
        </w:tc>
        <w:tc>
          <w:tcPr>
            <w:tcW w:type="dxa" w:w="7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Permission atomique sur un objet (article.read, article.write, subscription.manage...). Permissions attribuées aux rôles.</w:t>
            </w:r>
          </w:p>
        </w:tc>
      </w:tr>
      <w:tr>
        <w:tc>
          <w:tcPr>
            <w:tcW w:type="dxa" w:w="20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Session</w:t>
            </w:r>
          </w:p>
        </w:tc>
        <w:tc>
          <w:tcPr>
            <w:tcW w:type="dxa" w:w="7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Session d'un utilisateur authentifié : token, expiration, device_info, ip, last_activity.</w:t>
            </w:r>
          </w:p>
        </w:tc>
      </w:tr>
    </w:tbl>
    <w:p>
      <w:pPr>
        <w:pStyle w:val="Heading2"/>
        <w:spacing w:after="180" w:before="360"/>
      </w:pPr>
      <w:r>
        <w:t xml:space="preserve">7.2. Domaine Contenu éditorial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Entité</w:t>
            </w:r>
          </w:p>
        </w:tc>
        <w:tc>
          <w:tcPr>
            <w:tcW w:type="dxa" w:w="70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Description</w:t>
            </w:r>
          </w:p>
        </w:tc>
      </w:tr>
      <w:tr>
        <w:tc>
          <w:tcPr>
            <w:tcW w:type="dxa" w:w="20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Article</w:t>
            </w:r>
          </w:p>
        </w:tc>
        <w:tc>
          <w:tcPr>
            <w:tcW w:type="dxa" w:w="7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Article éditorial. Attributs : id, title, slug, lede, body (JSON riche), cover_media_id, status (draft/review/scheduled/published/archived), access_level, published_at, reading_time_minutes.</w:t>
            </w:r>
          </w:p>
        </w:tc>
      </w:tr>
      <w:tr>
        <w:tc>
          <w:tcPr>
            <w:tcW w:type="dxa" w:w="20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ArticleVersion</w:t>
            </w:r>
          </w:p>
        </w:tc>
        <w:tc>
          <w:tcPr>
            <w:tcW w:type="dxa" w:w="7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Version d'un article pour l'historique. Une version créée à chaque sauvegarde.</w:t>
            </w:r>
          </w:p>
        </w:tc>
      </w:tr>
      <w:tr>
        <w:tc>
          <w:tcPr>
            <w:tcW w:type="dxa" w:w="20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Author</w:t>
            </w:r>
          </w:p>
        </w:tc>
        <w:tc>
          <w:tcPr>
            <w:tcW w:type="dxa" w:w="7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Fiche publique d'auteur (distincte du User backoffice). Permet de signer des articles par des auteurs externes/invités.</w:t>
            </w:r>
          </w:p>
        </w:tc>
      </w:tr>
      <w:tr>
        <w:tc>
          <w:tcPr>
            <w:tcW w:type="dxa" w:w="20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Category</w:t>
            </w:r>
          </w:p>
        </w:tc>
        <w:tc>
          <w:tcPr>
            <w:tcW w:type="dxa" w:w="7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Rubrique principale (La Une, Analyses, Succès, Boutique) et sous-rubriques.</w:t>
            </w:r>
          </w:p>
        </w:tc>
      </w:tr>
      <w:tr>
        <w:tc>
          <w:tcPr>
            <w:tcW w:type="dxa" w:w="20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Tag</w:t>
            </w:r>
          </w:p>
        </w:tc>
        <w:tc>
          <w:tcPr>
            <w:tcW w:type="dxa" w:w="7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Étiquette libre pour navigation transversale.</w:t>
            </w:r>
          </w:p>
        </w:tc>
      </w:tr>
      <w:tr>
        <w:tc>
          <w:tcPr>
            <w:tcW w:type="dxa" w:w="20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EditorialCategory</w:t>
            </w:r>
          </w:p>
        </w:tc>
        <w:tc>
          <w:tcPr>
            <w:tcW w:type="dxa" w:w="7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Catégorie éditoriale (Succès, Échec constructif, Interview, Portrait, Tribune, Analyse).</w:t>
            </w:r>
          </w:p>
        </w:tc>
      </w:tr>
      <w:tr>
        <w:tc>
          <w:tcPr>
            <w:tcW w:type="dxa" w:w="20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Media</w:t>
            </w:r>
          </w:p>
        </w:tc>
        <w:tc>
          <w:tcPr>
            <w:tcW w:type="dxa" w:w="7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Fichier média (image, PDF, vidéo). Attributs : id, url, mime_type, width, height, alt_text, caption, credit, license.</w:t>
            </w:r>
          </w:p>
        </w:tc>
      </w:tr>
      <w:tr>
        <w:tc>
          <w:tcPr>
            <w:tcW w:type="dxa" w:w="20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MediaCollection</w:t>
            </w:r>
          </w:p>
        </w:tc>
        <w:tc>
          <w:tcPr>
            <w:tcW w:type="dxa" w:w="7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Regroupement de médias (ex: photos d'un événement).</w:t>
            </w:r>
          </w:p>
        </w:tc>
      </w:tr>
    </w:tbl>
    <w:p>
      <w:pPr>
        <w:pStyle w:val="Heading2"/>
        <w:spacing w:after="180" w:before="360"/>
      </w:pPr>
      <w:r>
        <w:t xml:space="preserve">7.3. Domaine Magazine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Entité</w:t>
            </w:r>
          </w:p>
        </w:tc>
        <w:tc>
          <w:tcPr>
            <w:tcW w:type="dxa" w:w="70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Description</w:t>
            </w:r>
          </w:p>
        </w:tc>
      </w:tr>
      <w:tr>
        <w:tc>
          <w:tcPr>
            <w:tcW w:type="dxa" w:w="20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Magazine</w:t>
            </w:r>
          </w:p>
        </w:tc>
        <w:tc>
          <w:tcPr>
            <w:tcW w:type="dxa" w:w="7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Configuration globale du magazine (nom, baseline, ISSN, ...).</w:t>
            </w:r>
          </w:p>
        </w:tc>
      </w:tr>
      <w:tr>
        <w:tc>
          <w:tcPr>
            <w:tcW w:type="dxa" w:w="20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MagazineIssue</w:t>
            </w:r>
          </w:p>
        </w:tc>
        <w:tc>
          <w:tcPr>
            <w:tcW w:type="dxa" w:w="7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Numéro du magazine. Attributs : id, number, title, theme, cover_media_id, pdf_url, publication_date, price_paper, price_pdf, stock_paper, status.</w:t>
            </w:r>
          </w:p>
        </w:tc>
      </w:tr>
      <w:tr>
        <w:tc>
          <w:tcPr>
            <w:tcW w:type="dxa" w:w="20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IssueSummaryEntry</w:t>
            </w:r>
          </w:p>
        </w:tc>
        <w:tc>
          <w:tcPr>
            <w:tcW w:type="dxa" w:w="7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Entrée du sommaire d'un numéro : page, titre, résumé, lien vers article numérique optionnel.</w:t>
            </w:r>
          </w:p>
        </w:tc>
      </w:tr>
    </w:tbl>
    <w:p>
      <w:pPr>
        <w:pStyle w:val="Heading2"/>
        <w:spacing w:after="180" w:before="360"/>
      </w:pPr>
      <w:r>
        <w:t xml:space="preserve">7.4. Domaine Commercial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Entité</w:t>
            </w:r>
          </w:p>
        </w:tc>
        <w:tc>
          <w:tcPr>
            <w:tcW w:type="dxa" w:w="70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Description</w:t>
            </w:r>
          </w:p>
        </w:tc>
      </w:tr>
      <w:tr>
        <w:tc>
          <w:tcPr>
            <w:tcW w:type="dxa" w:w="20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SubscriptionPlan</w:t>
            </w:r>
          </w:p>
        </w:tc>
        <w:tc>
          <w:tcPr>
            <w:tcW w:type="dxa" w:w="7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Formule d'abonnement. Attributs : id, code, name, description, price, currency, duration_months, features (JSON), is_active.</w:t>
            </w:r>
          </w:p>
        </w:tc>
      </w:tr>
      <w:tr>
        <w:tc>
          <w:tcPr>
            <w:tcW w:type="dxa" w:w="20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Subscription</w:t>
            </w:r>
          </w:p>
        </w:tc>
        <w:tc>
          <w:tcPr>
            <w:tcW w:type="dxa" w:w="7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Abonnement actif d'un utilisateur. Attributs : id, user_id, plan_id, start_date, end_date, status, auto_renewal.</w:t>
            </w:r>
          </w:p>
        </w:tc>
      </w:tr>
      <w:tr>
        <w:tc>
          <w:tcPr>
            <w:tcW w:type="dxa" w:w="20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PromoCode</w:t>
            </w:r>
          </w:p>
        </w:tc>
        <w:tc>
          <w:tcPr>
            <w:tcW w:type="dxa" w:w="7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Code promotionnel : code, type (%|fixed), value, valid_from, valid_until, max_uses, plans_eligible (JSON).</w:t>
            </w:r>
          </w:p>
        </w:tc>
      </w:tr>
      <w:tr>
        <w:tc>
          <w:tcPr>
            <w:tcW w:type="dxa" w:w="20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Order</w:t>
            </w:r>
          </w:p>
        </w:tc>
        <w:tc>
          <w:tcPr>
            <w:tcW w:type="dxa" w:w="7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Commande (abonnement, numéro, article à l'unité). Attributs : id, user_id, amount, currency, status, payment_method, items (JSON).</w:t>
            </w:r>
          </w:p>
        </w:tc>
      </w:tr>
      <w:tr>
        <w:tc>
          <w:tcPr>
            <w:tcW w:type="dxa" w:w="20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Payment</w:t>
            </w:r>
          </w:p>
        </w:tc>
        <w:tc>
          <w:tcPr>
            <w:tcW w:type="dxa" w:w="7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Transaction de paiement. Attributs : id, order_id, provider (cinetpay, ...), provider_ref, status, amount, fees, raw_response.</w:t>
            </w:r>
          </w:p>
        </w:tc>
      </w:tr>
      <w:tr>
        <w:tc>
          <w:tcPr>
            <w:tcW w:type="dxa" w:w="20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Invoice</w:t>
            </w:r>
          </w:p>
        </w:tc>
        <w:tc>
          <w:tcPr>
            <w:tcW w:type="dxa" w:w="7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Facture générée. Attributs : id, order_id, number (séquentiel), pdf_url, issued_at, amount_ht, tva, amount_ttc.</w:t>
            </w:r>
          </w:p>
        </w:tc>
      </w:tr>
      <w:tr>
        <w:tc>
          <w:tcPr>
            <w:tcW w:type="dxa" w:w="20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AccessRight</w:t>
            </w:r>
          </w:p>
        </w:tc>
        <w:tc>
          <w:tcPr>
            <w:tcW w:type="dxa" w:w="7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Droit d'accès ponctuel à un article (achat à l'unité, article offert). Attributs : user_id, article_id, granted_at, expires_at, source.</w:t>
            </w:r>
          </w:p>
        </w:tc>
      </w:tr>
    </w:tbl>
    <w:p>
      <w:pPr>
        <w:pStyle w:val="Heading2"/>
        <w:spacing w:after="180" w:before="360"/>
      </w:pPr>
      <w:r>
        <w:t xml:space="preserve">7.5. Domaine Communication &amp; engagement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Entité</w:t>
            </w:r>
          </w:p>
        </w:tc>
        <w:tc>
          <w:tcPr>
            <w:tcW w:type="dxa" w:w="70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Description</w:t>
            </w:r>
          </w:p>
        </w:tc>
      </w:tr>
      <w:tr>
        <w:tc>
          <w:tcPr>
            <w:tcW w:type="dxa" w:w="20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Newsletter</w:t>
            </w:r>
          </w:p>
        </w:tc>
        <w:tc>
          <w:tcPr>
            <w:tcW w:type="dxa" w:w="7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Liste de diffusion : nom, type, is_active.</w:t>
            </w:r>
          </w:p>
        </w:tc>
      </w:tr>
      <w:tr>
        <w:tc>
          <w:tcPr>
            <w:tcW w:type="dxa" w:w="20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NewsletterSubscription</w:t>
            </w:r>
          </w:p>
        </w:tc>
        <w:tc>
          <w:tcPr>
            <w:tcW w:type="dxa" w:w="7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Abonnement d'un utilisateur à une liste : user_id (ou email pour les non-inscrits), newsletter_id, confirmed_at, unsubscribed_at.</w:t>
            </w:r>
          </w:p>
        </w:tc>
      </w:tr>
      <w:tr>
        <w:tc>
          <w:tcPr>
            <w:tcW w:type="dxa" w:w="20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Campaign</w:t>
            </w:r>
          </w:p>
        </w:tc>
        <w:tc>
          <w:tcPr>
            <w:tcW w:type="dxa" w:w="7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Campagne email envoyée : subject, template_id, target_segment, scheduled_at, sent_at, stats (opens, clicks).</w:t>
            </w:r>
          </w:p>
        </w:tc>
      </w:tr>
      <w:tr>
        <w:tc>
          <w:tcPr>
            <w:tcW w:type="dxa" w:w="20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Comment</w:t>
            </w:r>
          </w:p>
        </w:tc>
        <w:tc>
          <w:tcPr>
            <w:tcW w:type="dxa" w:w="7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Commentaire posté sur un article : author_user_id, article_id, content, status (pending/approved/refused), parent_id pour les réponses.</w:t>
            </w:r>
          </w:p>
        </w:tc>
      </w:tr>
      <w:tr>
        <w:tc>
          <w:tcPr>
            <w:tcW w:type="dxa" w:w="20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AuditLog</w:t>
            </w:r>
          </w:p>
        </w:tc>
        <w:tc>
          <w:tcPr>
            <w:tcW w:type="dxa" w:w="7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Journal d'audit : id, user_id, action, object_type, object_id, ip, user_agent, created_at, payload (JSON).</w:t>
            </w:r>
          </w:p>
        </w:tc>
      </w:tr>
    </w:tbl>
    <w:p>
      <w:r>
        <w:br w:type="page"/>
      </w:r>
    </w:p>
    <w:p>
      <w:pPr>
        <w:pStyle w:val="Heading1"/>
        <w:spacing w:after="240" w:before="480"/>
      </w:pPr>
      <w:r>
        <w:t xml:space="preserve">8. Exigences non-fonctionnelles</w:t>
      </w:r>
    </w:p>
    <w:p>
      <w:pPr>
        <w:spacing w:after="120"/>
        <w:jc w:val="both"/>
      </w:pPr>
      <w:r>
        <w:t xml:space="preserve">Les exigences non-fonctionnelles conditionnent la qualité de service globale de la plateforme. Le détail complet (34 exigences avec cibles mesurables et plan de vérification) figure dans la feuille "Exigences NF" du fichier Excel. Synthèse par domaine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Domaine</w:t>
            </w:r>
          </w:p>
        </w:tc>
        <w:tc>
          <w:tcPr>
            <w:tcW w:type="dxa" w:w="70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Synthèse des exigences clés</w:t>
            </w:r>
          </w:p>
        </w:tc>
      </w:tr>
      <w:tr>
        <w:tc>
          <w:tcPr>
            <w:tcW w:type="dxa" w:w="20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Performance</w:t>
            </w:r>
          </w:p>
        </w:tc>
        <w:tc>
          <w:tcPr>
            <w:tcW w:type="dxa" w:w="7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LCP &lt; 2,5 s en p75 mobile 4G sur la page d'accueil · Temps de réponse API p95 &lt; 500 ms · Core Web Vitals dans le vert (Good) · Tenue en charge : 1 000 utilisateurs concurrents sans dégradation.</w:t>
            </w:r>
          </w:p>
        </w:tc>
      </w:tr>
      <w:tr>
        <w:tc>
          <w:tcPr>
            <w:tcW w:type="dxa" w:w="20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Disponibilité</w:t>
            </w:r>
          </w:p>
        </w:tc>
        <w:tc>
          <w:tcPr>
            <w:tcW w:type="dxa" w:w="7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99,5 % minimum sur le site public · 99 % sur le backoffice en heures ouvrées · RTO &lt; 4 h · RPO &lt; 24 h · Sauvegarde quotidienne chiffrée.</w:t>
            </w:r>
          </w:p>
        </w:tc>
      </w:tr>
      <w:tr>
        <w:tc>
          <w:tcPr>
            <w:tcW w:type="dxa" w:w="20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Sécurité</w:t>
            </w:r>
          </w:p>
        </w:tc>
        <w:tc>
          <w:tcPr>
            <w:tcW w:type="dxa" w:w="7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Aucune vulnérabilité critique OWASP 2021 · Pentest avant GO PROD puis annuel · TLS 1.3, HSTS, CSP stricte · Chiffrement au repos des mots de passe (argon2) et PDF abonnés · Rate limiting API et authentification.</w:t>
            </w:r>
          </w:p>
        </w:tc>
      </w:tr>
      <w:tr>
        <w:tc>
          <w:tcPr>
            <w:tcW w:type="dxa" w:w="20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Scalabilité</w:t>
            </w:r>
          </w:p>
        </w:tc>
        <w:tc>
          <w:tcPr>
            <w:tcW w:type="dxa" w:w="7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Architecture stateless autorisant scalabilité horizontale · Cible année 1 : 100 000 utilisateurs, 10 000 abonnés, 5 000 articles · 95 % des requêtes statiques servies via CDN.</w:t>
            </w:r>
          </w:p>
        </w:tc>
      </w:tr>
      <w:tr>
        <w:tc>
          <w:tcPr>
            <w:tcW w:type="dxa" w:w="20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Accessibilité</w:t>
            </w:r>
          </w:p>
        </w:tc>
        <w:tc>
          <w:tcPr>
            <w:tcW w:type="dxa" w:w="7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Conformité WCAG 2.1 AA à la V1 (audit externe) · Navigation clavier complète · Compatibilité NVDA, VoiceOver, TalkBack · Contrastes 4.5:1 minimum.</w:t>
            </w:r>
          </w:p>
        </w:tc>
      </w:tr>
      <w:tr>
        <w:tc>
          <w:tcPr>
            <w:tcW w:type="dxa" w:w="20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Conformité</w:t>
            </w:r>
          </w:p>
        </w:tc>
        <w:tc>
          <w:tcPr>
            <w:tcW w:type="dxa" w:w="7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Déclaration ARTCI (loi 2013-450) · RGPD (DPO, registre des traitements, droits d'accès/portabilité/oubli) · Consentement cookies granulaire · Facturation conforme CI (numérotation, TVA 18 %, mentions légales).</w:t>
            </w:r>
          </w:p>
        </w:tc>
      </w:tr>
      <w:tr>
        <w:tc>
          <w:tcPr>
            <w:tcW w:type="dxa" w:w="20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UX</w:t>
            </w:r>
          </w:p>
        </w:tc>
        <w:tc>
          <w:tcPr>
            <w:tcW w:type="dxa" w:w="7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Design responsive 320 à 1920 px · &lt; 1 h de prise en main backoffice pour un rédacteur · Taux d'erreur formulaire &lt; 2 % sur parcours critiques.</w:t>
            </w:r>
          </w:p>
        </w:tc>
      </w:tr>
      <w:tr>
        <w:tc>
          <w:tcPr>
            <w:tcW w:type="dxa" w:w="20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Observabilité</w:t>
            </w:r>
          </w:p>
        </w:tc>
        <w:tc>
          <w:tcPr>
            <w:tcW w:type="dxa" w:w="7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Logs centralisés rétention 90 j · Métriques business et techniques · Alerting 24/7 sur incidents critiques.</w:t>
            </w:r>
          </w:p>
        </w:tc>
      </w:tr>
      <w:tr>
        <w:tc>
          <w:tcPr>
            <w:tcW w:type="dxa" w:w="20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i18n</w:t>
            </w:r>
          </w:p>
        </w:tc>
        <w:tc>
          <w:tcPr>
            <w:tcW w:type="dxa" w:w="7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FR (principal) dès le MVP · Africa/Abidjan (UTC+0) par défaut · Framework i18n en place dès le MVP pour préparer une éventuelle version EN.</w:t>
            </w:r>
          </w:p>
        </w:tc>
      </w:tr>
    </w:tbl>
    <w:p>
      <w:r>
        <w:br w:type="page"/>
      </w:r>
    </w:p>
    <w:p>
      <w:pPr>
        <w:pStyle w:val="Heading1"/>
        <w:spacing w:after="240" w:before="480"/>
      </w:pPr>
      <w:r>
        <w:t xml:space="preserve">9. Intégrations externes</w:t>
      </w:r>
    </w:p>
    <w:p>
      <w:pPr>
        <w:spacing w:after="120"/>
        <w:jc w:val="both"/>
      </w:pPr>
      <w:r>
        <w:t xml:space="preserve">La plateforme s'appuie sur 20 intégrations externes, dont 7 sont critiques dès le MVP. Le détail complet (solution recommandée, alternatives, coût indicatif) figure dans la feuille "Intégrations" du fichier Excel.</w:t>
      </w:r>
    </w:p>
    <w:p>
      <w:pPr>
        <w:pStyle w:val="Heading2"/>
        <w:spacing w:after="180" w:before="360"/>
      </w:pPr>
      <w:r>
        <w:t xml:space="preserve">9.1. Intégrations critiques (MVP)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00"/>
      </w:tblGrid>
      <w:tr>
        <w:trPr>
          <w:tblHeader/>
        </w:trPr>
        <w:tc>
          <w:tcPr>
            <w:tcW w:type="dxa" w:w="18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Domaine</w:t>
            </w:r>
          </w:p>
        </w:tc>
        <w:tc>
          <w:tcPr>
            <w:tcW w:type="dxa" w:w="22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Solution recommandée</w:t>
            </w:r>
          </w:p>
        </w:tc>
        <w:tc>
          <w:tcPr>
            <w:tcW w:type="dxa" w:w="50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Justification</w:t>
            </w:r>
          </w:p>
        </w:tc>
      </w:tr>
      <w:tr>
        <w:tc>
          <w:tcPr>
            <w:tcW w:type="dxa" w:w="18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Paiement CI</w:t>
            </w:r>
          </w:p>
        </w:tc>
        <w:tc>
          <w:tcPr>
            <w:tcW w:type="dxa" w:w="22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CinetPay</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Mobile Money (Orange, MTN, Moov, Wave) + cartes bancaires. Solution de référence en Côte d'Ivoire, commission ~2,5 %.</w:t>
            </w:r>
          </w:p>
        </w:tc>
      </w:tr>
      <w:tr>
        <w:tc>
          <w:tcPr>
            <w:tcW w:type="dxa" w:w="18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Email transactionnel</w:t>
            </w:r>
          </w:p>
        </w:tc>
        <w:tc>
          <w:tcPr>
            <w:tcW w:type="dxa" w:w="22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SendGrid ou Mailjet</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Emails critiques (confirmation, facture, relance). DKIM/SPF/DMARC impératifs.</w:t>
            </w:r>
          </w:p>
        </w:tc>
      </w:tr>
      <w:tr>
        <w:tc>
          <w:tcPr>
            <w:tcW w:type="dxa" w:w="18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CDN</w:t>
            </w:r>
          </w:p>
        </w:tc>
        <w:tc>
          <w:tcPr>
            <w:tcW w:type="dxa" w:w="22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Cloudflare Pro</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Accélération, mise en cache, protection DDoS, WAF. Plan Pro suffisant au démarrage.</w:t>
            </w:r>
          </w:p>
        </w:tc>
      </w:tr>
      <w:tr>
        <w:tc>
          <w:tcPr>
            <w:tcW w:type="dxa" w:w="18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Hébergement</w:t>
            </w:r>
          </w:p>
        </w:tc>
        <w:tc>
          <w:tcPr>
            <w:tcW w:type="dxa" w:w="22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OVH ou Scaleway</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Serveurs applicatifs et base de données dans une région proche géographiquement.</w:t>
            </w:r>
          </w:p>
        </w:tc>
      </w:tr>
      <w:tr>
        <w:tc>
          <w:tcPr>
            <w:tcW w:type="dxa" w:w="18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Stockage objet</w:t>
            </w:r>
          </w:p>
        </w:tc>
        <w:tc>
          <w:tcPr>
            <w:tcW w:type="dxa" w:w="22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S3-compatible</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Stockage des médias et PDF (AWS S3, Scaleway Object Storage, ou MinIO self-hosted).</w:t>
            </w:r>
          </w:p>
        </w:tc>
      </w:tr>
      <w:tr>
        <w:tc>
          <w:tcPr>
            <w:tcW w:type="dxa" w:w="18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Monitoring</w:t>
            </w:r>
          </w:p>
        </w:tc>
        <w:tc>
          <w:tcPr>
            <w:tcW w:type="dxa" w:w="22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Sentry + UptimeRobot</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Suivi des erreurs applicatives et disponibilité. Essentiel dès la mise en production.</w:t>
            </w:r>
          </w:p>
        </w:tc>
      </w:tr>
      <w:tr>
        <w:tc>
          <w:tcPr>
            <w:tcW w:type="dxa" w:w="18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Facturation PDF</w:t>
            </w:r>
          </w:p>
        </w:tc>
        <w:tc>
          <w:tcPr>
            <w:tcW w:type="dxa" w:w="22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Génération en interne</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Factures conformes CI avec numérotation séquentielle et mentions légales obligatoires.</w:t>
            </w:r>
          </w:p>
        </w:tc>
      </w:tr>
    </w:tbl>
    <w:p>
      <w:pPr>
        <w:pStyle w:val="Heading2"/>
        <w:spacing w:after="180" w:before="360"/>
      </w:pPr>
      <w:r>
        <w:t xml:space="preserve">9.2. Intégrations à planifier en V1</w:t>
      </w:r>
    </w:p>
    <w:p>
      <w:pPr>
        <w:pStyle w:val="ListParagraph"/>
        <w:numPr>
          <w:ilvl w:val="0"/>
          <w:numId w:val="2"/>
        </w:numPr>
        <w:spacing w:after="60"/>
      </w:pPr>
      <w:r>
        <w:t xml:space="preserve">Email marketing : Mailjet ou Brevo pour les campagnes newsletter et les communications commerciales.</w:t>
      </w:r>
    </w:p>
    <w:p>
      <w:pPr>
        <w:pStyle w:val="ListParagraph"/>
        <w:numPr>
          <w:ilvl w:val="0"/>
          <w:numId w:val="2"/>
        </w:numPr>
        <w:spacing w:after="60"/>
      </w:pPr>
      <w:r>
        <w:t xml:space="preserve">SMS : API Orange CI ou InfoBip pour les relances, la 2FA et les confirmations (canal à fort impact en Côte d'Ivoire).</w:t>
      </w:r>
    </w:p>
    <w:p>
      <w:pPr>
        <w:pStyle w:val="ListParagraph"/>
        <w:numPr>
          <w:ilvl w:val="0"/>
          <w:numId w:val="2"/>
        </w:numPr>
        <w:spacing w:after="60"/>
      </w:pPr>
      <w:r>
        <w:t xml:space="preserve">Recherche : MeiliSearch self-hosted pour le moteur de recherche interne.</w:t>
      </w:r>
    </w:p>
    <w:p>
      <w:pPr>
        <w:pStyle w:val="ListParagraph"/>
        <w:numPr>
          <w:ilvl w:val="0"/>
          <w:numId w:val="2"/>
        </w:numPr>
        <w:spacing w:after="60"/>
      </w:pPr>
      <w:r>
        <w:t xml:space="preserve">Analytics : Matomo self-hosted (privacy-first, conforme RGPD) pour les statistiques de consultation.</w:t>
      </w:r>
    </w:p>
    <w:p>
      <w:pPr>
        <w:pStyle w:val="ListParagraph"/>
        <w:numPr>
          <w:ilvl w:val="0"/>
          <w:numId w:val="2"/>
        </w:numPr>
        <w:spacing w:after="60"/>
      </w:pPr>
      <w:r>
        <w:t xml:space="preserve">Authentification sociale : OAuth Google et Facebook pour simplifier l'inscription.</w:t>
      </w:r>
    </w:p>
    <w:p>
      <w:pPr>
        <w:pStyle w:val="Heading2"/>
        <w:spacing w:after="180" w:before="360"/>
      </w:pPr>
      <w:r>
        <w:t xml:space="preserve">9.3. Intégrations à évaluer pour la V2 et au-delà</w:t>
      </w:r>
    </w:p>
    <w:p>
      <w:pPr>
        <w:pStyle w:val="ListParagraph"/>
        <w:numPr>
          <w:ilvl w:val="0"/>
          <w:numId w:val="2"/>
        </w:numPr>
        <w:spacing w:after="60"/>
      </w:pPr>
      <w:r>
        <w:t xml:space="preserve">Buffer ou équivalent pour la publication automatique sur les réseaux sociaux.</w:t>
      </w:r>
    </w:p>
    <w:p>
      <w:pPr>
        <w:pStyle w:val="ListParagraph"/>
        <w:numPr>
          <w:ilvl w:val="0"/>
          <w:numId w:val="2"/>
        </w:numPr>
        <w:spacing w:after="60"/>
      </w:pPr>
      <w:r>
        <w:t xml:space="preserve">Crisp ou Intercom pour le chat support client.</w:t>
      </w:r>
    </w:p>
    <w:p>
      <w:pPr>
        <w:pStyle w:val="ListParagraph"/>
        <w:numPr>
          <w:ilvl w:val="0"/>
          <w:numId w:val="2"/>
        </w:numPr>
        <w:spacing w:after="60"/>
      </w:pPr>
      <w:r>
        <w:t xml:space="preserve">API Claude (Anthropic) pour des fonctionnalités IA (résumés automatiques, suggestions de tags, relecture assistée).</w:t>
      </w:r>
    </w:p>
    <w:p>
      <w:pPr>
        <w:pStyle w:val="ListParagraph"/>
        <w:numPr>
          <w:ilvl w:val="0"/>
          <w:numId w:val="2"/>
        </w:numPr>
        <w:spacing w:after="60"/>
      </w:pPr>
      <w:r>
        <w:t xml:space="preserve">Connect CI pour le KYC des abonnés Entreprise, si la solution atteint une maturité suffisante.</w:t>
      </w:r>
    </w:p>
    <w:p>
      <w:r>
        <w:br w:type="page"/>
      </w:r>
    </w:p>
    <w:p>
      <w:pPr>
        <w:pStyle w:val="Heading1"/>
        <w:spacing w:after="240" w:before="480"/>
      </w:pPr>
      <w:r>
        <w:t xml:space="preserve">10. Roadmap et phasage</w:t>
      </w:r>
    </w:p>
    <w:p>
      <w:pPr>
        <w:spacing w:after="120"/>
        <w:jc w:val="both"/>
      </w:pPr>
      <w:r>
        <w:t xml:space="preserve">Le programme est découpé en 4 itérations successives sur 12 à 15 mois, chacune livrant de la valeur mesurable et autonome. La feuille "Roadmap" du fichier Excel détaille les jalons, le périmètre et le budget indicatif.</w:t>
      </w:r>
    </w:p>
    <w:p>
      <w:pPr>
        <w:pStyle w:val="Heading2"/>
        <w:spacing w:after="180" w:before="360"/>
      </w:pPr>
      <w:r>
        <w:t xml:space="preserve">10.1. Phase MVP — Lancement commercial (M1 à M3)</w:t>
      </w:r>
    </w:p>
    <w:p>
      <w:pPr>
        <w:spacing w:after="120"/>
        <w:jc w:val="both"/>
      </w:pPr>
      <w:r>
        <w:t xml:space="preserve">Objectif : lancer une plateforme fonctionnelle capable de vendre des abonnements et de publier des articles, avec les standards de qualité minimum. Environ 38 user stories.</w:t>
      </w:r>
    </w:p>
    <w:p>
      <w:pPr>
        <w:spacing w:after="120"/>
        <w:jc w:val="both"/>
      </w:pPr>
      <w:r>
        <w:t xml:space="preserve">Le périmètre fonctionnel de cette phase :</w:t>
      </w:r>
    </w:p>
    <w:p>
      <w:pPr>
        <w:pStyle w:val="ListParagraph"/>
        <w:numPr>
          <w:ilvl w:val="0"/>
          <w:numId w:val="2"/>
        </w:numPr>
        <w:spacing w:after="60"/>
      </w:pPr>
      <w:r>
        <w:t xml:space="preserve">Backoffice : gestion des utilisateurs, création/publication d'articles avec éditeur riche, gestion des rubriques et tags, bibliothèque média de base, formules d'abonnement, commandes et factures, paramètres généraux, journal d'audit.</w:t>
      </w:r>
    </w:p>
    <w:p>
      <w:pPr>
        <w:pStyle w:val="ListParagraph"/>
        <w:numPr>
          <w:ilvl w:val="0"/>
          <w:numId w:val="2"/>
        </w:numPr>
        <w:spacing w:after="60"/>
      </w:pPr>
      <w:r>
        <w:t xml:space="preserve">Frontend : page d'accueil avec slider et fil d'actu, pages rubriques, lecture d'articles avec paywall basique, tunnel d'abonnement Mobile Money et carte, inscription après paiement, CTA newsletter.</w:t>
      </w:r>
    </w:p>
    <w:p>
      <w:pPr>
        <w:pStyle w:val="ListParagraph"/>
        <w:numPr>
          <w:ilvl w:val="0"/>
          <w:numId w:val="2"/>
        </w:numPr>
        <w:spacing w:after="60"/>
      </w:pPr>
      <w:r>
        <w:t xml:space="preserve">Transverse : SEO de base (sitemap, Open Graph), sécurité fondamentale (OWASP), conformité RGPD minimale (cookies, mentions légales), monitoring applicatif.</w:t>
      </w:r>
    </w:p>
    <w:p>
      <w:pPr>
        <w:spacing w:after="120"/>
        <w:jc w:val="both"/>
      </w:pPr>
      <w:r>
        <w:t xml:space="preserve">À la fin du MVP, le magazine doit pouvoir vendre un premier abonnement, publier ses articles, et donner accès aux abonnés sans friction. Budget indicatif : 25 à 35 millions de FCFA.</w:t>
      </w:r>
    </w:p>
    <w:p>
      <w:pPr>
        <w:pStyle w:val="Heading2"/>
        <w:spacing w:after="180" w:before="360"/>
      </w:pPr>
      <w:r>
        <w:t xml:space="preserve">10.2. Phase V1 — Plateforme complète (M4 à M6)</w:t>
      </w:r>
    </w:p>
    <w:p>
      <w:pPr>
        <w:spacing w:after="120"/>
        <w:jc w:val="both"/>
      </w:pPr>
      <w:r>
        <w:t xml:space="preserve">Objectif : atteindre la maturité fonctionnelle et lancer la campagne marketing d'acquisition. Environ 48 user stories supplémentaires.</w:t>
      </w:r>
    </w:p>
    <w:p>
      <w:pPr>
        <w:spacing w:after="120"/>
        <w:jc w:val="both"/>
      </w:pPr>
      <w:r>
        <w:t xml:space="preserve">Le périmètre fonctionnel complète le MVP :</w:t>
      </w:r>
    </w:p>
    <w:p>
      <w:pPr>
        <w:pStyle w:val="ListParagraph"/>
        <w:numPr>
          <w:ilvl w:val="0"/>
          <w:numId w:val="2"/>
        </w:numPr>
        <w:spacing w:after="60"/>
      </w:pPr>
      <w:r>
        <w:t xml:space="preserve">Backoffice : workflow éditorial complet avec kanban, historique des versions, relecture collaborative, gestion du magazine papier/PDF, création et envoi de campagnes newsletter, renouvellements automatiques, dashboards personnalisés, licences Entreprise.</w:t>
      </w:r>
    </w:p>
    <w:p>
      <w:pPr>
        <w:pStyle w:val="ListParagraph"/>
        <w:numPr>
          <w:ilvl w:val="0"/>
          <w:numId w:val="2"/>
        </w:numPr>
        <w:spacing w:after="60"/>
      </w:pPr>
      <w:r>
        <w:t xml:space="preserve">Frontend : espace abonné complet (factures, préférences, gestion abonnement), lecteur PDF protégé avec watermark, archives consultables, recherche plein texte, mot de passe oublié, 2FA optionnelle, droits RGPD (export, suppression).</w:t>
      </w:r>
    </w:p>
    <w:p>
      <w:pPr>
        <w:pStyle w:val="ListParagraph"/>
        <w:numPr>
          <w:ilvl w:val="0"/>
          <w:numId w:val="2"/>
        </w:numPr>
        <w:spacing w:after="60"/>
      </w:pPr>
      <w:r>
        <w:t xml:space="preserve">Transverse : accessibilité WCAG 2.1 AA avec audit externe, Schema.org complet, optimisations de performance.</w:t>
      </w:r>
    </w:p>
    <w:p>
      <w:pPr>
        <w:spacing w:after="120"/>
        <w:jc w:val="both"/>
      </w:pPr>
      <w:r>
        <w:t xml:space="preserve">Budget indicatif : 22 à 30 millions de FCFA. Objectif business : 2 000 abonnés payants.</w:t>
      </w:r>
    </w:p>
    <w:p>
      <w:pPr>
        <w:pStyle w:val="Heading2"/>
        <w:spacing w:after="180" w:before="360"/>
      </w:pPr>
      <w:r>
        <w:t xml:space="preserve">10.3. Phase V2 — Engagement et scale (M7 à M9)</w:t>
      </w:r>
    </w:p>
    <w:p>
      <w:pPr>
        <w:spacing w:after="120"/>
        <w:jc w:val="both"/>
      </w:pPr>
      <w:r>
        <w:t xml:space="preserve">Objectif : renforcer l'engagement, enrichir les capacités analytiques et préparer la montée en charge. Environ 30 user stories.</w:t>
      </w:r>
    </w:p>
    <w:p>
      <w:pPr>
        <w:pStyle w:val="ListParagraph"/>
        <w:numPr>
          <w:ilvl w:val="0"/>
          <w:numId w:val="2"/>
        </w:numPr>
        <w:spacing w:after="60"/>
      </w:pPr>
      <w:r>
        <w:t xml:space="preserve">Commentaires et modération (file, modération automatique, signalements, bannissements).</w:t>
      </w:r>
    </w:p>
    <w:p>
      <w:pPr>
        <w:pStyle w:val="ListParagraph"/>
        <w:numPr>
          <w:ilvl w:val="0"/>
          <w:numId w:val="2"/>
        </w:numPr>
        <w:spacing w:after="60"/>
      </w:pPr>
      <w:r>
        <w:t xml:space="preserve">Favoris, articles liés, suggestions avancées, partage d'articles entre abonnés.</w:t>
      </w:r>
    </w:p>
    <w:p>
      <w:pPr>
        <w:pStyle w:val="ListParagraph"/>
        <w:numPr>
          <w:ilvl w:val="0"/>
          <w:numId w:val="2"/>
        </w:numPr>
        <w:spacing w:after="60"/>
      </w:pPr>
      <w:r>
        <w:t xml:space="preserve">A/B testing newsletter, segmentation abonnés avancée, offres spéciales temporaires.</w:t>
      </w:r>
    </w:p>
    <w:p>
      <w:pPr>
        <w:pStyle w:val="ListParagraph"/>
        <w:numPr>
          <w:ilvl w:val="0"/>
          <w:numId w:val="2"/>
        </w:numPr>
        <w:spacing w:after="60"/>
      </w:pPr>
      <w:r>
        <w:t xml:space="preserve">Tableau de bord exécutif synthétique, analytics article avancés.</w:t>
      </w:r>
    </w:p>
    <w:p>
      <w:pPr>
        <w:pStyle w:val="ListParagraph"/>
        <w:numPr>
          <w:ilvl w:val="0"/>
          <w:numId w:val="2"/>
        </w:numPr>
        <w:spacing w:after="60"/>
      </w:pPr>
      <w:r>
        <w:t xml:space="preserve">Gestion Entreprise avancée : reporting d'usage, gestion fine des licences.</w:t>
      </w:r>
    </w:p>
    <w:p>
      <w:pPr>
        <w:spacing w:after="120"/>
        <w:jc w:val="both"/>
      </w:pPr>
      <w:r>
        <w:t xml:space="preserve">Budget indicatif : 15 à 20 millions de FCFA. Objectif business : 5 000 abonnés payants.</w:t>
      </w:r>
    </w:p>
    <w:p>
      <w:pPr>
        <w:pStyle w:val="Heading2"/>
        <w:spacing w:after="180" w:before="360"/>
      </w:pPr>
      <w:r>
        <w:t xml:space="preserve">10.4. Phase V3 — Évolutions (M10+)</w:t>
      </w:r>
    </w:p>
    <w:p>
      <w:pPr>
        <w:spacing w:after="120"/>
        <w:jc w:val="both"/>
      </w:pPr>
      <w:r>
        <w:t xml:space="preserve">Objectif : ouvrir le champ des possibles et différencier la plateforme. Environ 17 user stories.</w:t>
      </w:r>
    </w:p>
    <w:p>
      <w:pPr>
        <w:pStyle w:val="ListParagraph"/>
        <w:numPr>
          <w:ilvl w:val="0"/>
          <w:numId w:val="2"/>
        </w:numPr>
        <w:spacing w:after="60"/>
      </w:pPr>
      <w:r>
        <w:t xml:space="preserve">PWA mobile ou application mobile native.</w:t>
      </w:r>
    </w:p>
    <w:p>
      <w:pPr>
        <w:pStyle w:val="ListParagraph"/>
        <w:numPr>
          <w:ilvl w:val="0"/>
          <w:numId w:val="2"/>
        </w:numPr>
        <w:spacing w:after="60"/>
      </w:pPr>
      <w:r>
        <w:t xml:space="preserve">API publique pour partenaires.</w:t>
      </w:r>
    </w:p>
    <w:p>
      <w:pPr>
        <w:pStyle w:val="ListParagraph"/>
        <w:numPr>
          <w:ilvl w:val="0"/>
          <w:numId w:val="2"/>
        </w:numPr>
        <w:spacing w:after="60"/>
      </w:pPr>
      <w:r>
        <w:t xml:space="preserve">Multi-langues (anglais en priorité).</w:t>
      </w:r>
    </w:p>
    <w:p>
      <w:pPr>
        <w:pStyle w:val="ListParagraph"/>
        <w:numPr>
          <w:ilvl w:val="0"/>
          <w:numId w:val="2"/>
        </w:numPr>
        <w:spacing w:after="60"/>
      </w:pPr>
      <w:r>
        <w:t xml:space="preserve">Événements / billetterie (GM Days).</w:t>
      </w:r>
    </w:p>
    <w:p>
      <w:pPr>
        <w:pStyle w:val="ListParagraph"/>
        <w:numPr>
          <w:ilvl w:val="0"/>
          <w:numId w:val="2"/>
        </w:numPr>
        <w:spacing w:after="60"/>
      </w:pPr>
      <w:r>
        <w:t xml:space="preserve">Intégrations IA (suggestions de sujets, résumés automatiques, relecture assistée).</w:t>
      </w:r>
    </w:p>
    <w:p>
      <w:pPr>
        <w:pStyle w:val="ListParagraph"/>
        <w:numPr>
          <w:ilvl w:val="0"/>
          <w:numId w:val="2"/>
        </w:numPr>
        <w:spacing w:after="60"/>
      </w:pPr>
      <w:r>
        <w:t xml:space="preserve">Gamification (badges, niveaux de lecture).</w:t>
      </w:r>
    </w:p>
    <w:p>
      <w:pPr>
        <w:spacing w:after="120"/>
        <w:jc w:val="both"/>
      </w:pPr>
      <w:r>
        <w:t xml:space="preserve">Budget indicatif : 10 millions de FCFA + selon les projets retenus.</w:t>
      </w:r>
    </w:p>
    <w:p>
      <w:pPr>
        <w:pStyle w:val="Heading2"/>
        <w:spacing w:after="180" w:before="360"/>
      </w:pPr>
      <w:r>
        <w:t xml:space="preserve">10.5. Jalons clés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6000"/>
      </w:tblGrid>
      <w:tr>
        <w:trPr>
          <w:tblHeader/>
        </w:trPr>
        <w:tc>
          <w:tcPr>
            <w:tcW w:type="dxa" w:w="9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Jalon</w:t>
            </w:r>
          </w:p>
        </w:tc>
        <w:tc>
          <w:tcPr>
            <w:tcW w:type="dxa" w:w="21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Événement</w:t>
            </w:r>
          </w:p>
        </w:tc>
        <w:tc>
          <w:tcPr>
            <w:tcW w:type="dxa" w:w="60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Livrables attendus</w:t>
            </w:r>
          </w:p>
        </w:tc>
      </w:tr>
      <w:tr>
        <w:tc>
          <w:tcPr>
            <w:tcW w:type="dxa" w:w="9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M0</w:t>
            </w:r>
          </w:p>
        </w:tc>
        <w:tc>
          <w:tcPr>
            <w:tcW w:type="dxa" w:w="21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Kick-off</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Cadrage complet, choix techniques définitifs, constitution de l'équipe, mise en place CI/CD.</w:t>
            </w:r>
          </w:p>
        </w:tc>
      </w:tr>
      <w:tr>
        <w:tc>
          <w:tcPr>
            <w:tcW w:type="dxa" w:w="9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M1</w:t>
            </w:r>
          </w:p>
        </w:tc>
        <w:tc>
          <w:tcPr>
            <w:tcW w:type="dxa" w:w="21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Fin sprint 2</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Architecture validée, design system en place, premiers écrans backoffice.</w:t>
            </w:r>
          </w:p>
        </w:tc>
      </w:tr>
      <w:tr>
        <w:tc>
          <w:tcPr>
            <w:tcW w:type="dxa" w:w="9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M2</w:t>
            </w:r>
          </w:p>
        </w:tc>
        <w:tc>
          <w:tcPr>
            <w:tcW w:type="dxa" w:w="21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Beta interne</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Backoffice opérationnel pour la rédaction, premiers articles publiés en environnement de test.</w:t>
            </w:r>
          </w:p>
        </w:tc>
      </w:tr>
      <w:tr>
        <w:tc>
          <w:tcPr>
            <w:tcW w:type="dxa" w:w="9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M3</w:t>
            </w:r>
          </w:p>
        </w:tc>
        <w:tc>
          <w:tcPr>
            <w:tcW w:type="dxa" w:w="21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Lancement MVP public</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Mise en production, communication de lancement, premiers paiements réels.</w:t>
            </w:r>
          </w:p>
        </w:tc>
      </w:tr>
      <w:tr>
        <w:tc>
          <w:tcPr>
            <w:tcW w:type="dxa" w:w="9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M4</w:t>
            </w:r>
          </w:p>
        </w:tc>
        <w:tc>
          <w:tcPr>
            <w:tcW w:type="dxa" w:w="21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Retours terrain</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Consolidation, priorisation ajustée selon les retours early adopters.</w:t>
            </w:r>
          </w:p>
        </w:tc>
      </w:tr>
      <w:tr>
        <w:tc>
          <w:tcPr>
            <w:tcW w:type="dxa" w:w="9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M6</w:t>
            </w:r>
          </w:p>
        </w:tc>
        <w:tc>
          <w:tcPr>
            <w:tcW w:type="dxa" w:w="21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Release V1</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Plateforme complète, campagne marketing d'acquisition, objectif 2 000 abonnés.</w:t>
            </w:r>
          </w:p>
        </w:tc>
      </w:tr>
      <w:tr>
        <w:tc>
          <w:tcPr>
            <w:tcW w:type="dxa" w:w="9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M9</w:t>
            </w:r>
          </w:p>
        </w:tc>
        <w:tc>
          <w:tcPr>
            <w:tcW w:type="dxa" w:w="21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Release V2</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Maturité fonctionnelle, analytics consolidés, objectif 5 000 abonnés.</w:t>
            </w:r>
          </w:p>
        </w:tc>
      </w:tr>
      <w:tr>
        <w:tc>
          <w:tcPr>
            <w:tcW w:type="dxa" w:w="9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M12</w:t>
            </w:r>
          </w:p>
        </w:tc>
        <w:tc>
          <w:tcPr>
            <w:tcW w:type="dxa" w:w="21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Bilan année 1</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Bilan business et technique, décisions stratégiques pour l'année 2.</w:t>
            </w:r>
          </w:p>
        </w:tc>
      </w:tr>
    </w:tbl>
    <w:p>
      <w:r>
        <w:br w:type="page"/>
      </w:r>
    </w:p>
    <w:p>
      <w:pPr>
        <w:pStyle w:val="Heading1"/>
        <w:spacing w:after="240" w:before="480"/>
      </w:pPr>
      <w:r>
        <w:t xml:space="preserve">11. Risques et mitigations</w:t>
      </w:r>
    </w:p>
    <w:p>
      <w:pPr>
        <w:spacing w:after="120"/>
        <w:jc w:val="both"/>
      </w:pPr>
      <w:r>
        <w:t xml:space="preserve">Dix risques majeurs ont été identifiés, classés par domaine. Chaque risque est associé à une stratégie de mitigation.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200"/>
        <w:gridCol w:w="900"/>
        <w:gridCol w:w="900"/>
        <w:gridCol w:w="3200"/>
      </w:tblGrid>
      <w:tr>
        <w:trPr>
          <w:tblHeader/>
        </w:trPr>
        <w:tc>
          <w:tcPr>
            <w:tcW w:type="dxa" w:w="6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ID</w:t>
            </w:r>
          </w:p>
        </w:tc>
        <w:tc>
          <w:tcPr>
            <w:tcW w:type="dxa" w:w="12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Domaine</w:t>
            </w:r>
          </w:p>
        </w:tc>
        <w:tc>
          <w:tcPr>
            <w:tcW w:type="dxa" w:w="22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Risque</w:t>
            </w:r>
          </w:p>
        </w:tc>
        <w:tc>
          <w:tcPr>
            <w:tcW w:type="dxa" w:w="9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Probabilité</w:t>
            </w:r>
          </w:p>
        </w:tc>
        <w:tc>
          <w:tcPr>
            <w:tcW w:type="dxa" w:w="9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Impact</w:t>
            </w:r>
          </w:p>
        </w:tc>
        <w:tc>
          <w:tcPr>
            <w:tcW w:type="dxa" w:w="32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Mitigation</w:t>
            </w:r>
          </w:p>
        </w:tc>
      </w:tr>
      <w:tr>
        <w:tc>
          <w:tcPr>
            <w:tcW w:type="dxa" w:w="6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R1</w:t>
            </w:r>
          </w:p>
        </w:tc>
        <w:tc>
          <w:tcPr>
            <w:tcW w:type="dxa" w:w="12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center"/>
            </w:pPr>
            <w:r>
              <w:rPr>
                <w:b/>
                <w:bCs/>
                <w:sz w:val="20"/>
                <w:szCs w:val="20"/>
              </w:rPr>
              <w:t xml:space="preserve">Produit</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sz w:val="20"/>
                <w:szCs w:val="20"/>
              </w:rPr>
              <w:t xml:space="preserve">Faible adoption initiale des abonnements</w:t>
            </w:r>
          </w:p>
        </w:tc>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val="false"/>
                <w:bCs w:val="false"/>
                <w:sz w:val="20"/>
                <w:szCs w:val="20"/>
              </w:rPr>
              <w:t xml:space="preserve">Moyen</w:t>
            </w:r>
          </w:p>
        </w:tc>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val="false"/>
                <w:bCs w:val="false"/>
                <w:sz w:val="20"/>
                <w:szCs w:val="20"/>
              </w:rPr>
              <w:t xml:space="preserve">Élevé</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18"/>
                <w:szCs w:val="18"/>
              </w:rPr>
              <w:t xml:space="preserve">Plan marketing dès le lancement, offre d'essai gratuite 14 jours, prix d'appel, partenariats influenceurs, contenu gratuit de qualité pour attirer.</w:t>
            </w:r>
          </w:p>
        </w:tc>
      </w:tr>
      <w:tr>
        <w:tc>
          <w:tcPr>
            <w:tcW w:type="dxa" w:w="6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R2</w:t>
            </w:r>
          </w:p>
        </w:tc>
        <w:tc>
          <w:tcPr>
            <w:tcW w:type="dxa" w:w="12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center"/>
            </w:pPr>
            <w:r>
              <w:rPr>
                <w:b/>
                <w:bCs/>
                <w:sz w:val="20"/>
                <w:szCs w:val="20"/>
              </w:rPr>
              <w:t xml:space="preserve">Produit</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sz w:val="20"/>
                <w:szCs w:val="20"/>
              </w:rPr>
              <w:t xml:space="preserve">Contenu éditorial insuffisant ou non différenciant</w:t>
            </w:r>
          </w:p>
        </w:tc>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val="false"/>
                <w:bCs w:val="false"/>
                <w:sz w:val="20"/>
                <w:szCs w:val="20"/>
              </w:rPr>
              <w:t xml:space="preserve">Moyen</w:t>
            </w:r>
          </w:p>
        </w:tc>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val="false"/>
                <w:bCs w:val="false"/>
                <w:sz w:val="20"/>
                <w:szCs w:val="20"/>
              </w:rPr>
              <w:t xml:space="preserve">Élevé</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18"/>
                <w:szCs w:val="18"/>
              </w:rPr>
              <w:t xml:space="preserve">Constitution d'une rédaction solide dès M0, charte éditoriale claire, plan de production pré-lancement (stock d'articles), partenariats avec écoles/universités.</w:t>
            </w:r>
          </w:p>
        </w:tc>
      </w:tr>
      <w:tr>
        <w:tc>
          <w:tcPr>
            <w:tcW w:type="dxa" w:w="6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R3</w:t>
            </w:r>
          </w:p>
        </w:tc>
        <w:tc>
          <w:tcPr>
            <w:tcW w:type="dxa" w:w="12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center"/>
            </w:pPr>
            <w:r>
              <w:rPr>
                <w:b/>
                <w:bCs/>
                <w:sz w:val="20"/>
                <w:szCs w:val="20"/>
              </w:rPr>
              <w:t xml:space="preserve">Technique</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sz w:val="20"/>
                <w:szCs w:val="20"/>
              </w:rPr>
              <w:t xml:space="preserve">Dépendance excessive à un prestataire de paiement</w:t>
            </w:r>
          </w:p>
        </w:tc>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val="false"/>
                <w:bCs w:val="false"/>
                <w:sz w:val="20"/>
                <w:szCs w:val="20"/>
              </w:rPr>
              <w:t xml:space="preserve">Faible</w:t>
            </w:r>
          </w:p>
        </w:tc>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val="false"/>
                <w:bCs w:val="false"/>
                <w:sz w:val="20"/>
                <w:szCs w:val="20"/>
              </w:rPr>
              <w:t xml:space="preserve">Élevé</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18"/>
                <w:szCs w:val="18"/>
              </w:rPr>
              <w:t xml:space="preserve">Architecture adaptateur/connecteur, couche d'abstraction permettant le basculement vers PayDunya ou Flutterwave en cas de défaillance CinetPay.</w:t>
            </w:r>
          </w:p>
        </w:tc>
      </w:tr>
      <w:tr>
        <w:tc>
          <w:tcPr>
            <w:tcW w:type="dxa" w:w="6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R4</w:t>
            </w:r>
          </w:p>
        </w:tc>
        <w:tc>
          <w:tcPr>
            <w:tcW w:type="dxa" w:w="12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center"/>
            </w:pPr>
            <w:r>
              <w:rPr>
                <w:b/>
                <w:bCs/>
                <w:sz w:val="20"/>
                <w:szCs w:val="20"/>
              </w:rPr>
              <w:t xml:space="preserve">Technique</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sz w:val="20"/>
                <w:szCs w:val="20"/>
              </w:rPr>
              <w:t xml:space="preserve">Performance dégradée sur réseaux mobiles bas débit</w:t>
            </w:r>
          </w:p>
        </w:tc>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val="false"/>
                <w:bCs w:val="false"/>
                <w:sz w:val="20"/>
                <w:szCs w:val="20"/>
              </w:rPr>
              <w:t xml:space="preserve">Élevé</w:t>
            </w:r>
          </w:p>
        </w:tc>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val="false"/>
                <w:bCs w:val="false"/>
                <w:sz w:val="20"/>
                <w:szCs w:val="20"/>
              </w:rPr>
              <w:t xml:space="preserve">Moyen</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18"/>
                <w:szCs w:val="18"/>
              </w:rPr>
              <w:t xml:space="preserve">Optimisation mobile-first, CDN, images WebP/AVIF, lazy-loading, Server-Side Rendering, bundles légers, tests réels sur réseaux 3G simulés.</w:t>
            </w:r>
          </w:p>
        </w:tc>
      </w:tr>
      <w:tr>
        <w:tc>
          <w:tcPr>
            <w:tcW w:type="dxa" w:w="6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R5</w:t>
            </w:r>
          </w:p>
        </w:tc>
        <w:tc>
          <w:tcPr>
            <w:tcW w:type="dxa" w:w="12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center"/>
            </w:pPr>
            <w:r>
              <w:rPr>
                <w:b/>
                <w:bCs/>
                <w:sz w:val="20"/>
                <w:szCs w:val="20"/>
              </w:rPr>
              <w:t xml:space="preserve">Sécurité</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sz w:val="20"/>
                <w:szCs w:val="20"/>
              </w:rPr>
              <w:t xml:space="preserve">Fuite de données abonnés (RGPD, loi 2013-450)</w:t>
            </w:r>
          </w:p>
        </w:tc>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val="false"/>
                <w:bCs w:val="false"/>
                <w:sz w:val="20"/>
                <w:szCs w:val="20"/>
              </w:rPr>
              <w:t xml:space="preserve">Faible</w:t>
            </w:r>
          </w:p>
        </w:tc>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val="false"/>
                <w:bCs w:val="false"/>
                <w:sz w:val="20"/>
                <w:szCs w:val="20"/>
              </w:rPr>
              <w:t xml:space="preserve">Critique</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18"/>
                <w:szCs w:val="18"/>
              </w:rPr>
              <w:t xml:space="preserve">Chiffrement au repos, 2FA obligatoire pour ADM/SUP, principe du moindre privilège, pentest annuel, procédure de notification sous 72 h, souscription cyber-assurance.</w:t>
            </w:r>
          </w:p>
        </w:tc>
      </w:tr>
      <w:tr>
        <w:tc>
          <w:tcPr>
            <w:tcW w:type="dxa" w:w="6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R6</w:t>
            </w:r>
          </w:p>
        </w:tc>
        <w:tc>
          <w:tcPr>
            <w:tcW w:type="dxa" w:w="12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center"/>
            </w:pPr>
            <w:r>
              <w:rPr>
                <w:b/>
                <w:bCs/>
                <w:sz w:val="20"/>
                <w:szCs w:val="20"/>
              </w:rPr>
              <w:t xml:space="preserve">Sécurité</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sz w:val="20"/>
                <w:szCs w:val="20"/>
              </w:rPr>
              <w:t xml:space="preserve">Partage illicite de PDF premium entre utilisateurs</w:t>
            </w:r>
          </w:p>
        </w:tc>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val="false"/>
                <w:bCs w:val="false"/>
                <w:sz w:val="20"/>
                <w:szCs w:val="20"/>
              </w:rPr>
              <w:t xml:space="preserve">Élevé</w:t>
            </w:r>
          </w:p>
        </w:tc>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val="false"/>
                <w:bCs w:val="false"/>
                <w:sz w:val="20"/>
                <w:szCs w:val="20"/>
              </w:rPr>
              <w:t xml:space="preserve">Moyen</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18"/>
                <w:szCs w:val="18"/>
              </w:rPr>
              <w:t xml:space="preserve">Watermark dynamique (email + IP + timestamp), limitation du nombre de téléchargements, surveillance des forums/groupes de partage, actions juridiques en cas d'identification.</w:t>
            </w:r>
          </w:p>
        </w:tc>
      </w:tr>
      <w:tr>
        <w:tc>
          <w:tcPr>
            <w:tcW w:type="dxa" w:w="6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R7</w:t>
            </w:r>
          </w:p>
        </w:tc>
        <w:tc>
          <w:tcPr>
            <w:tcW w:type="dxa" w:w="12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center"/>
            </w:pPr>
            <w:r>
              <w:rPr>
                <w:b/>
                <w:bCs/>
                <w:sz w:val="20"/>
                <w:szCs w:val="20"/>
              </w:rPr>
              <w:t xml:space="preserve">Conformité</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sz w:val="20"/>
                <w:szCs w:val="20"/>
              </w:rPr>
              <w:t xml:space="preserve">Non-conformité cookies / consentement (ARTCI, CNIL)</w:t>
            </w:r>
          </w:p>
        </w:tc>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val="false"/>
                <w:bCs w:val="false"/>
                <w:sz w:val="20"/>
                <w:szCs w:val="20"/>
              </w:rPr>
              <w:t xml:space="preserve">Moyen</w:t>
            </w:r>
          </w:p>
        </w:tc>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val="false"/>
                <w:bCs w:val="false"/>
                <w:sz w:val="20"/>
                <w:szCs w:val="20"/>
              </w:rPr>
              <w:t xml:space="preserve">Moyen</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18"/>
                <w:szCs w:val="18"/>
              </w:rPr>
              <w:t xml:space="preserve">Bandeau conforme, granularité par catégorie, journal des consentements, audit juridique avant mise en prod, DPO désigné.</w:t>
            </w:r>
          </w:p>
        </w:tc>
      </w:tr>
      <w:tr>
        <w:tc>
          <w:tcPr>
            <w:tcW w:type="dxa" w:w="6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R8</w:t>
            </w:r>
          </w:p>
        </w:tc>
        <w:tc>
          <w:tcPr>
            <w:tcW w:type="dxa" w:w="12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center"/>
            </w:pPr>
            <w:r>
              <w:rPr>
                <w:b/>
                <w:bCs/>
                <w:sz w:val="20"/>
                <w:szCs w:val="20"/>
              </w:rPr>
              <w:t xml:space="preserve">Opérationnel</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sz w:val="20"/>
                <w:szCs w:val="20"/>
              </w:rPr>
              <w:t xml:space="preserve">Difficulté à maintenir la cadence éditoriale prévue</w:t>
            </w:r>
          </w:p>
        </w:tc>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val="false"/>
                <w:bCs w:val="false"/>
                <w:sz w:val="20"/>
                <w:szCs w:val="20"/>
              </w:rPr>
              <w:t xml:space="preserve">Moyen</w:t>
            </w:r>
          </w:p>
        </w:tc>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val="false"/>
                <w:bCs w:val="false"/>
                <w:sz w:val="20"/>
                <w:szCs w:val="20"/>
              </w:rPr>
              <w:t xml:space="preserve">Moyen</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18"/>
                <w:szCs w:val="18"/>
              </w:rPr>
              <w:t xml:space="preserve">Calendrier éditorial anticipé, planification par sprints, réseau de pigistes de confiance, hiérarchisation claire des contenus selon leur impact.</w:t>
            </w:r>
          </w:p>
        </w:tc>
      </w:tr>
      <w:tr>
        <w:tc>
          <w:tcPr>
            <w:tcW w:type="dxa" w:w="6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R9</w:t>
            </w:r>
          </w:p>
        </w:tc>
        <w:tc>
          <w:tcPr>
            <w:tcW w:type="dxa" w:w="12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center"/>
            </w:pPr>
            <w:r>
              <w:rPr>
                <w:b/>
                <w:bCs/>
                <w:sz w:val="20"/>
                <w:szCs w:val="20"/>
              </w:rPr>
              <w:t xml:space="preserve">Financier</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sz w:val="20"/>
                <w:szCs w:val="20"/>
              </w:rPr>
              <w:t xml:space="preserve">Dépassement budgétaire sur le MVP</w:t>
            </w:r>
          </w:p>
        </w:tc>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val="false"/>
                <w:bCs w:val="false"/>
                <w:sz w:val="20"/>
                <w:szCs w:val="20"/>
              </w:rPr>
              <w:t xml:space="preserve">Moyen</w:t>
            </w:r>
          </w:p>
        </w:tc>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val="false"/>
                <w:bCs w:val="false"/>
                <w:sz w:val="20"/>
                <w:szCs w:val="20"/>
              </w:rPr>
              <w:t xml:space="preserve">Élevé</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18"/>
                <w:szCs w:val="18"/>
              </w:rPr>
              <w:t xml:space="preserve">Cadrage serré en phase 0, pilotage par jalons, sprints time-boxés, arbitrage rigoureux P0 vs P1 dès que des risques de retard apparaissent.</w:t>
            </w:r>
          </w:p>
        </w:tc>
      </w:tr>
      <w:tr>
        <w:tc>
          <w:tcPr>
            <w:tcW w:type="dxa" w:w="6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R10</w:t>
            </w:r>
          </w:p>
        </w:tc>
        <w:tc>
          <w:tcPr>
            <w:tcW w:type="dxa" w:w="12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center"/>
            </w:pPr>
            <w:r>
              <w:rPr>
                <w:b/>
                <w:bCs/>
                <w:sz w:val="20"/>
                <w:szCs w:val="20"/>
              </w:rPr>
              <w:t xml:space="preserve">Marché</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sz w:val="20"/>
                <w:szCs w:val="20"/>
              </w:rPr>
              <w:t xml:space="preserve">Concurrence d'un média existant qui digitalise son offre</w:t>
            </w:r>
          </w:p>
        </w:tc>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val="false"/>
                <w:bCs w:val="false"/>
                <w:sz w:val="20"/>
                <w:szCs w:val="20"/>
              </w:rPr>
              <w:t xml:space="preserve">Moyen</w:t>
            </w:r>
          </w:p>
        </w:tc>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val="false"/>
                <w:bCs w:val="false"/>
                <w:sz w:val="20"/>
                <w:szCs w:val="20"/>
              </w:rPr>
              <w:t xml:space="preserve">Moyen</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18"/>
                <w:szCs w:val="18"/>
              </w:rPr>
              <w:t xml:space="preserve">Différenciation forte par la qualité éditoriale, rapidité d'exécution, création d'une communauté engagée, positionnement exclusif "marketing ivoirien".</w:t>
            </w:r>
          </w:p>
        </w:tc>
      </w:tr>
    </w:tbl>
    <w:p>
      <w:r>
        <w:br w:type="page"/>
      </w:r>
    </w:p>
    <w:p>
      <w:pPr>
        <w:pStyle w:val="Heading1"/>
        <w:spacing w:after="240" w:before="480"/>
      </w:pPr>
      <w:r>
        <w:t xml:space="preserve">12. Gouvernance projet</w:t>
      </w:r>
    </w:p>
    <w:p>
      <w:pPr>
        <w:pStyle w:val="Heading2"/>
        <w:spacing w:after="180" w:before="360"/>
      </w:pPr>
      <w:r>
        <w:t xml:space="preserve">12.1. Instances de pilotage</w:t>
      </w:r>
    </w:p>
    <w:p>
      <w:pPr>
        <w:spacing w:after="120"/>
        <w:jc w:val="both"/>
      </w:pPr>
      <w:r>
        <w:t xml:space="preserve">Trois instances rythment la vie du projet :</w:t>
      </w:r>
    </w:p>
    <w:p>
      <w:pPr>
        <w:pStyle w:val="ListParagraph"/>
        <w:numPr>
          <w:ilvl w:val="0"/>
          <w:numId w:val="2"/>
        </w:numPr>
        <w:spacing w:after="60"/>
      </w:pPr>
      <w:r>
        <w:rPr>
          <w:b/>
          <w:bCs/>
        </w:rPr>
        <w:t xml:space="preserve">COPIL — Comité de pilotage</w:t>
      </w:r>
      <w:r>
        <w:t xml:space="preserve"> : mensuel, réunit le sponsor (DG), la direction produit, le responsable éditorial, le lead technique. Objectif : décisions stratégiques, arbitrages budgétaires, validation des jalons.</w:t>
      </w:r>
    </w:p>
    <w:p>
      <w:pPr>
        <w:pStyle w:val="ListParagraph"/>
        <w:numPr>
          <w:ilvl w:val="0"/>
          <w:numId w:val="2"/>
        </w:numPr>
        <w:spacing w:after="60"/>
      </w:pPr>
      <w:r>
        <w:rPr>
          <w:b/>
          <w:bCs/>
        </w:rPr>
        <w:t xml:space="preserve">COPROJ — Comité projet</w:t>
      </w:r>
      <w:r>
        <w:t xml:space="preserve"> : hebdomadaire, réunit la direction produit, le lead technique, la rédactrice en chef, le responsable commercial. Objectif : suivi d'avancement, remontée des blocages, arbitrages de priorité.</w:t>
      </w:r>
    </w:p>
    <w:p>
      <w:pPr>
        <w:pStyle w:val="ListParagraph"/>
        <w:numPr>
          <w:ilvl w:val="0"/>
          <w:numId w:val="2"/>
        </w:numPr>
        <w:spacing w:after="60"/>
      </w:pPr>
      <w:r>
        <w:rPr>
          <w:b/>
          <w:bCs/>
        </w:rPr>
        <w:t xml:space="preserve">Sprints &amp; dailys</w:t>
      </w:r>
      <w:r>
        <w:t xml:space="preserve"> : cadence Scrum de 2 semaines, daily de 15 min, planning, review et rétrospective à chaque sprint. L'équipe produit (Product Owner) arbitre le backlog au fil de l'eau.</w:t>
      </w:r>
    </w:p>
    <w:p>
      <w:pPr>
        <w:pStyle w:val="Heading2"/>
        <w:spacing w:after="180" w:before="360"/>
      </w:pPr>
      <w:r>
        <w:t xml:space="preserve">12.2. Équipe cible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400"/>
      </w:tblGrid>
      <w:tr>
        <w:trPr>
          <w:tblHeader/>
        </w:trPr>
        <w:tc>
          <w:tcPr>
            <w:tcW w:type="dxa" w:w="24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Profil</w:t>
            </w:r>
          </w:p>
        </w:tc>
        <w:tc>
          <w:tcPr>
            <w:tcW w:type="dxa" w:w="12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Nb ETP</w:t>
            </w:r>
          </w:p>
        </w:tc>
        <w:tc>
          <w:tcPr>
            <w:tcW w:type="dxa" w:w="5400"/>
            <w:tcBorders>
              <w:top w:val="single" w:color="CCCCCC" w:sz="4"/>
              <w:left w:val="single" w:color="CCCCCC" w:sz="4"/>
              <w:bottom w:val="single" w:color="CCCCCC" w:sz="4"/>
              <w:right w:val="single" w:color="CCCCCC" w:sz="4"/>
            </w:tcBorders>
            <w:shd w:fill="B40F1E" w:val="clear"/>
            <w:tcMar>
              <w:top w:type="dxa" w:w="100"/>
              <w:left w:type="dxa" w:w="140"/>
              <w:bottom w:type="dxa" w:w="100"/>
              <w:right w:type="dxa" w:w="140"/>
            </w:tcMar>
            <w:vAlign w:val="center"/>
          </w:tcPr>
          <w:p>
            <w:pPr>
              <w:jc w:val="center"/>
            </w:pPr>
            <w:r>
              <w:rPr>
                <w:b/>
                <w:bCs/>
                <w:color w:val="FFFFFF"/>
                <w:sz w:val="20"/>
                <w:szCs w:val="20"/>
              </w:rPr>
              <w:t xml:space="preserve">Responsabilités</w:t>
            </w:r>
          </w:p>
        </w:tc>
      </w:tr>
      <w:tr>
        <w:tc>
          <w:tcPr>
            <w:tcW w:type="dxa" w:w="2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Product Owner / Chef de projet</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bCs/>
                <w:sz w:val="20"/>
                <w:szCs w:val="20"/>
              </w:rPr>
              <w:t xml:space="preserve">1</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Backlog, priorisation, interface métier ↔ tech, suivi livraisons.</w:t>
            </w:r>
          </w:p>
        </w:tc>
      </w:tr>
      <w:tr>
        <w:tc>
          <w:tcPr>
            <w:tcW w:type="dxa" w:w="2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Lead technique / Architecte</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bCs/>
                <w:sz w:val="20"/>
                <w:szCs w:val="20"/>
              </w:rPr>
              <w:t xml:space="preserve">1</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Architecture, choix techniques, revue de code, mentoring.</w:t>
            </w:r>
          </w:p>
        </w:tc>
      </w:tr>
      <w:tr>
        <w:tc>
          <w:tcPr>
            <w:tcW w:type="dxa" w:w="2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Développeurs backend</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bCs/>
                <w:sz w:val="20"/>
                <w:szCs w:val="20"/>
              </w:rPr>
              <w:t xml:space="preserve">2</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API, logique métier, intégrations, paiement, données.</w:t>
            </w:r>
          </w:p>
        </w:tc>
      </w:tr>
      <w:tr>
        <w:tc>
          <w:tcPr>
            <w:tcW w:type="dxa" w:w="2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Développeurs frontend</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bCs/>
                <w:sz w:val="20"/>
                <w:szCs w:val="20"/>
              </w:rPr>
              <w:t xml:space="preserve">2</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Frontend public (Next.js), backoffice (React), intégration design.</w:t>
            </w:r>
          </w:p>
        </w:tc>
      </w:tr>
      <w:tr>
        <w:tc>
          <w:tcPr>
            <w:tcW w:type="dxa" w:w="2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UX / UI Designer</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bCs/>
                <w:sz w:val="20"/>
                <w:szCs w:val="20"/>
              </w:rPr>
              <w:t xml:space="preserve">1</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Design system, maquettes Figma, prototypes, design review.</w:t>
            </w:r>
          </w:p>
        </w:tc>
      </w:tr>
      <w:tr>
        <w:tc>
          <w:tcPr>
            <w:tcW w:type="dxa" w:w="2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QA / Test</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bCs/>
                <w:sz w:val="20"/>
                <w:szCs w:val="20"/>
              </w:rPr>
              <w:t xml:space="preserve">1</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Plan de tests, tests manuels, automatisation, non-régression.</w:t>
            </w:r>
          </w:p>
        </w:tc>
      </w:tr>
      <w:tr>
        <w:tc>
          <w:tcPr>
            <w:tcW w:type="dxa" w:w="2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DevOps (mi-temps)</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bCs/>
                <w:sz w:val="20"/>
                <w:szCs w:val="20"/>
              </w:rPr>
              <w:t xml:space="preserve">0,5</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Infrastructure, CI/CD, monitoring, sauvegardes, sécurité technique.</w:t>
            </w:r>
          </w:p>
        </w:tc>
      </w:tr>
      <w:tr>
        <w:tc>
          <w:tcPr>
            <w:tcW w:type="dxa" w:w="2400"/>
            <w:tcBorders>
              <w:top w:val="single" w:color="CCCCCC" w:sz="4"/>
              <w:left w:val="single" w:color="CCCCCC" w:sz="4"/>
              <w:bottom w:val="single" w:color="CCCCCC" w:sz="4"/>
              <w:right w:val="single" w:color="CCCCCC" w:sz="4"/>
            </w:tcBorders>
            <w:shd w:fill="F1EEE7" w:val="clear"/>
            <w:tcMar>
              <w:top w:type="dxa" w:w="100"/>
              <w:left w:type="dxa" w:w="140"/>
              <w:bottom w:type="dxa" w:w="100"/>
              <w:right w:type="dxa" w:w="140"/>
            </w:tcMar>
            <w:vAlign w:val="center"/>
          </w:tcPr>
          <w:p>
            <w:pPr>
              <w:jc w:val="left"/>
            </w:pPr>
            <w:r>
              <w:rPr>
                <w:b/>
                <w:bCs/>
                <w:sz w:val="20"/>
                <w:szCs w:val="20"/>
              </w:rPr>
              <w:t xml:space="preserve">Data / Analytics (V1+)</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bCs/>
                <w:sz w:val="20"/>
                <w:szCs w:val="20"/>
              </w:rPr>
              <w:t xml:space="preserve">0,5</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20"/>
                <w:szCs w:val="20"/>
              </w:rPr>
              <w:t xml:space="preserve">Dashboards, KPIs, segmentation, reporting.</w:t>
            </w:r>
          </w:p>
        </w:tc>
      </w:tr>
    </w:tbl>
    <w:p>
      <w:pPr>
        <w:spacing w:after="120"/>
        <w:jc w:val="both"/>
      </w:pPr>
      <w:r>
        <w:t xml:space="preserve">Soit une équipe cœur de 8 à 9 ETP en phase MVP / V1, avec une réduction possible à 5 à 6 ETP en V2, puis une équipe à géométrie variable en V3 selon les projets retenus.</w:t>
      </w:r>
    </w:p>
    <w:p>
      <w:pPr>
        <w:pStyle w:val="Heading2"/>
        <w:spacing w:after="180" w:before="360"/>
      </w:pPr>
      <w:r>
        <w:t xml:space="preserve">12.3. Outillage projet</w:t>
      </w:r>
    </w:p>
    <w:p>
      <w:pPr>
        <w:pStyle w:val="ListParagraph"/>
        <w:numPr>
          <w:ilvl w:val="0"/>
          <w:numId w:val="2"/>
        </w:numPr>
        <w:spacing w:after="60"/>
      </w:pPr>
      <w:r>
        <w:t xml:space="preserve">Gestion du backlog : Jira, Azure DevOps ou équivalent — import direct depuis le fichier Excel fourni.</w:t>
      </w:r>
    </w:p>
    <w:p>
      <w:pPr>
        <w:pStyle w:val="ListParagraph"/>
        <w:numPr>
          <w:ilvl w:val="0"/>
          <w:numId w:val="2"/>
        </w:numPr>
        <w:spacing w:after="60"/>
      </w:pPr>
      <w:r>
        <w:t xml:space="preserve">Documentation : Confluence, Notion ou GitBook pour la documentation technique et fonctionnelle.</w:t>
      </w:r>
    </w:p>
    <w:p>
      <w:pPr>
        <w:pStyle w:val="ListParagraph"/>
        <w:numPr>
          <w:ilvl w:val="0"/>
          <w:numId w:val="2"/>
        </w:numPr>
        <w:spacing w:after="60"/>
      </w:pPr>
      <w:r>
        <w:t xml:space="preserve">Design : Figma pour les maquettes, design system partagé.</w:t>
      </w:r>
    </w:p>
    <w:p>
      <w:pPr>
        <w:pStyle w:val="ListParagraph"/>
        <w:numPr>
          <w:ilvl w:val="0"/>
          <w:numId w:val="2"/>
        </w:numPr>
        <w:spacing w:after="60"/>
      </w:pPr>
      <w:r>
        <w:t xml:space="preserve">Code : GitHub ou GitLab, revue de code systématique via Pull Requests.</w:t>
      </w:r>
    </w:p>
    <w:p>
      <w:pPr>
        <w:pStyle w:val="ListParagraph"/>
        <w:numPr>
          <w:ilvl w:val="0"/>
          <w:numId w:val="2"/>
        </w:numPr>
        <w:spacing w:after="60"/>
      </w:pPr>
      <w:r>
        <w:t xml:space="preserve">CI/CD : GitHub Actions ou GitLab CI, déploiement automatique sur INT et REC.</w:t>
      </w:r>
    </w:p>
    <w:p>
      <w:pPr>
        <w:pStyle w:val="ListParagraph"/>
        <w:numPr>
          <w:ilvl w:val="0"/>
          <w:numId w:val="2"/>
        </w:numPr>
        <w:spacing w:after="60"/>
      </w:pPr>
      <w:r>
        <w:t xml:space="preserve">Communication : Slack ou Teams avec canaux dédiés (tech, produit, rédaction, incidents).</w:t>
      </w:r>
    </w:p>
    <w:p>
      <w:r>
        <w:br w:type="page"/>
      </w:r>
    </w:p>
    <w:p>
      <w:pPr>
        <w:pStyle w:val="Heading1"/>
        <w:spacing w:after="240" w:before="480"/>
      </w:pPr>
      <w:r>
        <w:t xml:space="preserve">13. Annexes</w:t>
      </w:r>
    </w:p>
    <w:p>
      <w:pPr>
        <w:pStyle w:val="Heading2"/>
        <w:spacing w:after="180" w:before="360"/>
      </w:pPr>
      <w:r>
        <w:t xml:space="preserve">13.1. Référence au backlog détaillé</w:t>
      </w:r>
    </w:p>
    <w:p>
      <w:pPr>
        <w:spacing w:after="120"/>
        <w:jc w:val="both"/>
      </w:pPr>
      <w:r>
        <w:t xml:space="preserve">Le détail complet des user stories, avec critères d'acceptation, priorité, phase et estimation, est disponible dans le fichier Excel joint :</w:t>
      </w:r>
    </w:p>
    <w:p>
      <w:pPr>
        <w:spacing w:after="120"/>
        <w:jc w:val="both"/>
      </w:pPr>
      <w:r>
        <w:rPr>
          <w:b/>
          <w:bCs/>
          <w:color w:val="B40F1E"/>
        </w:rPr>
        <w:t xml:space="preserve">Backlog_Genie_Marketing_Mag.xlsx</w:t>
      </w:r>
      <w:r>
        <w:t xml:space="preserve"> — 7 feuilles : Sommaire, Épiques (22), Acteurs &amp; Rôles (10 rôles + matrice), Backlog Complet (166 user stories), Roadmap (4 phases + 8 jalons), Exigences NF (34 exigences), Intégrations (20 intégrations).</w:t>
      </w:r>
    </w:p>
    <w:p>
      <w:pPr>
        <w:spacing w:after="120"/>
        <w:jc w:val="both"/>
      </w:pPr>
      <w:r>
        <w:t xml:space="preserve">Ce fichier est structuré pour être importable directement dans un outil de gestion de backlog (Jira, Azure DevOps, Linear). Chaque user story dispose d'un identifiant unique (US-001 à US-166), d'une rattachement à un épique, d'une priorité (P0/P1/P2/P3), d'une phase (MVP/V1/V2/V3) et d'une estimation en T-shirt size (XS, S, M, L, XL).</w:t>
      </w:r>
    </w:p>
    <w:p>
      <w:pPr>
        <w:pStyle w:val="Heading2"/>
        <w:spacing w:after="180" w:before="360"/>
      </w:pPr>
      <w:r>
        <w:t xml:space="preserve">13.2. Conventions utilisées</w:t>
      </w:r>
    </w:p>
    <w:p>
      <w:pPr>
        <w:spacing w:after="120"/>
        <w:jc w:val="both"/>
      </w:pPr>
      <w:r>
        <w:t xml:space="preserve">Dans le document et le backlog, les conventions suivantes s'appliquent :</w:t>
      </w:r>
    </w:p>
    <w:p>
      <w:pPr>
        <w:pStyle w:val="ListParagraph"/>
        <w:numPr>
          <w:ilvl w:val="0"/>
          <w:numId w:val="2"/>
        </w:numPr>
        <w:spacing w:after="60"/>
      </w:pPr>
      <w:r>
        <w:rPr>
          <w:b/>
          <w:bCs/>
        </w:rPr>
        <w:t xml:space="preserve">Priorité : </w:t>
      </w:r>
      <w:r>
        <w:t xml:space="preserve">P0 (critique, MVP) · P1 (haute, V1) · P2 (moyenne, V2) · P3 (basse, V3).</w:t>
      </w:r>
    </w:p>
    <w:p>
      <w:pPr>
        <w:pStyle w:val="ListParagraph"/>
        <w:numPr>
          <w:ilvl w:val="0"/>
          <w:numId w:val="2"/>
        </w:numPr>
        <w:spacing w:after="60"/>
      </w:pPr>
      <w:r>
        <w:rPr>
          <w:b/>
          <w:bCs/>
        </w:rPr>
        <w:t xml:space="preserve">Estimation T-shirt : </w:t>
      </w:r>
      <w:r>
        <w:t xml:space="preserve">XS (&lt; 0,5 j) · S (0,5 à 1 j) · M (1 à 3 j) · L (3 à 5 j) · XL (&gt; 5 j).</w:t>
      </w:r>
    </w:p>
    <w:p>
      <w:pPr>
        <w:pStyle w:val="ListParagraph"/>
        <w:numPr>
          <w:ilvl w:val="0"/>
          <w:numId w:val="2"/>
        </w:numPr>
        <w:spacing w:after="60"/>
      </w:pPr>
      <w:r>
        <w:rPr>
          <w:b/>
          <w:bCs/>
        </w:rPr>
        <w:t xml:space="preserve">Format user story : </w:t>
      </w:r>
      <w:r>
        <w:t xml:space="preserve">"En tant que [rôle], je veux [action/fonctionnalité] afin de [bénéfice]".</w:t>
      </w:r>
    </w:p>
    <w:p>
      <w:pPr>
        <w:pStyle w:val="ListParagraph"/>
        <w:numPr>
          <w:ilvl w:val="0"/>
          <w:numId w:val="2"/>
        </w:numPr>
        <w:spacing w:after="60"/>
      </w:pPr>
      <w:r>
        <w:rPr>
          <w:b/>
          <w:bCs/>
        </w:rPr>
        <w:t xml:space="preserve">Code rôle : </w:t>
      </w:r>
      <w:r>
        <w:t xml:space="preserve">VIS, AB-D, AB-C, AB-E, RED, CHEF, EDIT, COM, ADM, SUP (voir section 4).</w:t>
      </w:r>
    </w:p>
    <w:p>
      <w:pPr>
        <w:pStyle w:val="Heading2"/>
        <w:spacing w:after="180" w:before="360"/>
      </w:pPr>
      <w:r>
        <w:t xml:space="preserve">13.3. Documents connexes recommandés</w:t>
      </w:r>
    </w:p>
    <w:p>
      <w:pPr>
        <w:spacing w:after="120"/>
        <w:jc w:val="both"/>
      </w:pPr>
      <w:r>
        <w:t xml:space="preserve">Pour compléter ce backlog, les documents suivants sont à produire :</w:t>
      </w:r>
    </w:p>
    <w:p>
      <w:pPr>
        <w:pStyle w:val="ListParagraph"/>
        <w:numPr>
          <w:ilvl w:val="0"/>
          <w:numId w:val="2"/>
        </w:numPr>
        <w:spacing w:after="60"/>
      </w:pPr>
      <w:r>
        <w:t xml:space="preserve">Charte graphique et design system complet (palette, typographie, composants) — en cours.</w:t>
      </w:r>
    </w:p>
    <w:p>
      <w:pPr>
        <w:pStyle w:val="ListParagraph"/>
        <w:numPr>
          <w:ilvl w:val="0"/>
          <w:numId w:val="2"/>
        </w:numPr>
        <w:spacing w:after="60"/>
      </w:pPr>
      <w:r>
        <w:t xml:space="preserve">Maquettes Figma des écrans clés (backoffice + frontend).</w:t>
      </w:r>
    </w:p>
    <w:p>
      <w:pPr>
        <w:pStyle w:val="ListParagraph"/>
        <w:numPr>
          <w:ilvl w:val="0"/>
          <w:numId w:val="2"/>
        </w:numPr>
        <w:spacing w:after="60"/>
      </w:pPr>
      <w:r>
        <w:t xml:space="preserve">Dossier d'architecture technique détaillé (DAT) — à produire lors du kick-off.</w:t>
      </w:r>
    </w:p>
    <w:p>
      <w:pPr>
        <w:pStyle w:val="ListParagraph"/>
        <w:numPr>
          <w:ilvl w:val="0"/>
          <w:numId w:val="2"/>
        </w:numPr>
        <w:spacing w:after="60"/>
      </w:pPr>
      <w:r>
        <w:t xml:space="preserve">Plan de tests et de recette — à produire en phase de conception.</w:t>
      </w:r>
    </w:p>
    <w:p>
      <w:pPr>
        <w:pStyle w:val="ListParagraph"/>
        <w:numPr>
          <w:ilvl w:val="0"/>
          <w:numId w:val="2"/>
        </w:numPr>
        <w:spacing w:after="60"/>
      </w:pPr>
      <w:r>
        <w:t xml:space="preserve">Registre des traitements RGPD — à produire avec le DPO.</w:t>
      </w:r>
    </w:p>
    <w:p>
      <w:pPr>
        <w:pStyle w:val="ListParagraph"/>
        <w:numPr>
          <w:ilvl w:val="0"/>
          <w:numId w:val="2"/>
        </w:numPr>
        <w:spacing w:after="60"/>
      </w:pPr>
      <w:r>
        <w:t xml:space="preserve">Plan de reprise d'activité (PRA) — à produire avant la mise en production.</w:t>
      </w:r>
    </w:p>
    <w:p>
      <w:pPr>
        <w:pStyle w:val="Heading2"/>
        <w:spacing w:after="180" w:before="360"/>
      </w:pPr>
      <w:r>
        <w:t xml:space="preserve">13.4. Prochaines étapes</w:t>
      </w:r>
    </w:p>
    <w:p>
      <w:pPr>
        <w:spacing w:after="120"/>
        <w:jc w:val="both"/>
      </w:pPr>
      <w:r>
        <w:t xml:space="preserve">Pour initier concrètement le projet, les prochaines étapes sont :</w:t>
      </w:r>
    </w:p>
    <w:p>
      <w:pPr>
        <w:pStyle w:val="ListParagraph"/>
        <w:numPr>
          <w:ilvl w:val="0"/>
          <w:numId w:val="2"/>
        </w:numPr>
        <w:spacing w:after="60"/>
      </w:pPr>
      <w:r>
        <w:t xml:space="preserve">Validation du présent document par le COPIL (arbitrages périmètre, budget, calendrier).</w:t>
      </w:r>
    </w:p>
    <w:p>
      <w:pPr>
        <w:pStyle w:val="ListParagraph"/>
        <w:numPr>
          <w:ilvl w:val="0"/>
          <w:numId w:val="2"/>
        </w:numPr>
        <w:spacing w:after="60"/>
      </w:pPr>
      <w:r>
        <w:t xml:space="preserve">Choix définitif des briques techniques (stack, hébergement, fournisseurs).</w:t>
      </w:r>
    </w:p>
    <w:p>
      <w:pPr>
        <w:pStyle w:val="ListParagraph"/>
        <w:numPr>
          <w:ilvl w:val="0"/>
          <w:numId w:val="2"/>
        </w:numPr>
        <w:spacing w:after="60"/>
      </w:pPr>
      <w:r>
        <w:t xml:space="preserve">Constitution de l'équipe projet (recrutements internes ou prestataires).</w:t>
      </w:r>
    </w:p>
    <w:p>
      <w:pPr>
        <w:pStyle w:val="ListParagraph"/>
        <w:numPr>
          <w:ilvl w:val="0"/>
          <w:numId w:val="2"/>
        </w:numPr>
        <w:spacing w:after="60"/>
      </w:pPr>
      <w:r>
        <w:t xml:space="preserve">Production des maquettes Figma pour les parcours critiques.</w:t>
      </w:r>
    </w:p>
    <w:p>
      <w:pPr>
        <w:pStyle w:val="ListParagraph"/>
        <w:numPr>
          <w:ilvl w:val="0"/>
          <w:numId w:val="2"/>
        </w:numPr>
        <w:spacing w:after="60"/>
      </w:pPr>
      <w:r>
        <w:t xml:space="preserve">Mise en place de l'environnement de développement (repos, CI/CD, outils).</w:t>
      </w:r>
    </w:p>
    <w:p>
      <w:pPr>
        <w:pStyle w:val="ListParagraph"/>
        <w:numPr>
          <w:ilvl w:val="0"/>
          <w:numId w:val="2"/>
        </w:numPr>
        <w:spacing w:after="60"/>
      </w:pPr>
      <w:r>
        <w:t xml:space="preserve">Lancement du premier sprint MVP.</w:t>
      </w:r>
    </w:p>
    <w:p>
      <w:pPr>
        <w:spacing w:after="240" w:before="720"/>
        <w:jc w:val="center"/>
      </w:pPr>
      <w:r>
        <w:rPr>
          <w:i/>
          <w:iCs/>
          <w:color w:val="7A7A7A"/>
          <w:sz w:val="20"/>
          <w:szCs w:val="20"/>
        </w:rPr>
        <w:t xml:space="preserve">— Fin du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7A7A"/>
        <w:sz w:val="16"/>
        <w:szCs w:val="16"/>
      </w:rPr>
      <w:t xml:space="preserve">Page </w:t>
    </w:r>
    <w:r>
      <w:rPr>
        <w:color w:val="7A7A7A"/>
        <w:sz w:val="16"/>
        <w:szCs w:val="16"/>
      </w:rPr>
      <w:fldChar w:fldCharType="begin"/>
      <w:instrText xml:space="preserve">PAGE</w:instrText>
      <w:fldChar w:fldCharType="separate"/>
      <w:fldChar w:fldCharType="end"/>
    </w:r>
    <w:r>
      <w:rPr>
        <w:color w:val="7A7A7A"/>
        <w:sz w:val="16"/>
        <w:szCs w:val="16"/>
      </w:rPr>
      <w:t xml:space="preserve"> sur </w:t>
    </w:r>
    <w:r>
      <w:rPr>
        <w:color w:val="7A7A7A"/>
        <w:sz w:val="16"/>
        <w:szCs w:val="16"/>
      </w:rPr>
      <w:fldChar w:fldCharType="begin"/>
      <w:instrText xml:space="preserve">NUMPAGES</w:instrText>
      <w:fldChar w:fldCharType="separate"/>
      <w:fldChar w:fldCharType="end"/>
    </w:r>
    <w:r>
      <w:rPr>
        <w:color w:val="7A7A7A"/>
        <w:sz w:val="16"/>
        <w:szCs w:val="16"/>
      </w:rPr>
      <w:t xml:space="preserve">   ·   Confidentiel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A7A7A"/>
        <w:sz w:val="16"/>
        <w:szCs w:val="16"/>
      </w:rPr>
      <w:t xml:space="preserve">GÉNIE MARKETING Mag · Backlog produit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B40F1E"/>
      <w:sz w:val="40"/>
      <w:szCs w:val="40"/>
    </w:rPr>
  </w:style>
  <w:style w:type="paragraph" w:styleId="Heading2">
    <w:name w:val="Heading 2"/>
    <w:basedOn w:val="Normal"/>
    <w:next w:val="Normal"/>
    <w:qFormat/>
    <w:pPr>
      <w:spacing w:after="180" w:before="360"/>
      <w:outlineLvl w:val="1"/>
    </w:pPr>
    <w:rPr>
      <w:rFonts w:ascii="Arial" w:cs="Arial" w:eastAsia="Arial" w:hAnsi="Arial"/>
      <w:b/>
      <w:bCs/>
      <w:color w:val="2D2D2D"/>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2D2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Backlog produit GÉNIE MARKETING Mag</dc:title>
  <dc:creator>Direction Produit — GÉNIE MARKETING Mag</dc:creator>
  <dc:description>Document d'architecture et backlog produit pour la plateforme éditoriale</dc:description>
  <cp:lastModifiedBy>Un-named</cp:lastModifiedBy>
  <cp:revision>1</cp:revision>
  <dcterms:created xsi:type="dcterms:W3CDTF">2026-04-20T19:25:17.551Z</dcterms:created>
  <dcterms:modified xsi:type="dcterms:W3CDTF">2026-04-20T19:25:17.551Z</dcterms:modified>
</cp:coreProperties>
</file>

<file path=docProps/custom.xml><?xml version="1.0" encoding="utf-8"?>
<Properties xmlns="http://schemas.openxmlformats.org/officeDocument/2006/custom-properties" xmlns:vt="http://schemas.openxmlformats.org/officeDocument/2006/docPropsVTypes"/>
</file>