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before="0" w:after="1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8"/>
                <w:szCs w:val="68"/>
              </w:rPr>
              <w:t xml:space="preserve">oon.click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A8C4E0"/>
                <w:sz w:val="32"/>
                <w:szCs w:val="32"/>
              </w:rPr>
              <w:t xml:space="preserve">Plan Go-to-Market &amp; Communication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A878"/>
                <w:sz w:val="24"/>
                <w:szCs w:val="24"/>
              </w:rPr>
              <w:t xml:space="preserve">v1.0 — Lancement Côte d'Ivoire 2026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 ANALYSE DU MARCHÉ</w:t>
            </w:r>
          </w:p>
          <w:p>
            <w:r>
              <w:rPr>
                <w:rFonts w:ascii="Arial" w:cs="Arial" w:eastAsia="Arial" w:hAnsi="Arial"/>
                <w:i/>
                <w:iCs/>
                <w:color w:val="A8C4E0"/>
                <w:sz w:val="18"/>
                <w:szCs w:val="18"/>
              </w:rPr>
              <w:t xml:space="preserve">Opportunité &amp; Positionnement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1.1 Taille du Marché Adressable (TAM/SAM/SOM)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360"/>
      </w:tblGrid>
      <w:tr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Marché</w:t>
            </w:r>
          </w:p>
        </w:tc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Estimation CI</w:t>
            </w:r>
          </w:p>
        </w:tc>
        <w:tc>
          <w:tcPr>
            <w:tcW w:type="dxa" w:w="2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TAM — Total Addressable</w:t>
            </w:r>
          </w:p>
        </w:tc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Tous les utilisateurs mobile internet en CI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8,5M personnes</w:t>
            </w:r>
          </w:p>
        </w:tc>
        <w:tc>
          <w:tcPr>
            <w:tcW w:type="dxa" w:w="2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GSMA 2025</w:t>
            </w:r>
          </w:p>
        </w:tc>
      </w:tr>
      <w:tr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SAM — Serviceable</w:t>
            </w:r>
          </w:p>
        </w:tc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Abonnés smartphone Android/iOS, 18-55 ans, revenu moyen+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4,2M personnes</w:t>
            </w:r>
          </w:p>
        </w:tc>
        <w:tc>
          <w:tcPr>
            <w:tcW w:type="dxa" w:w="2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Estimation interne</w:t>
            </w:r>
          </w:p>
        </w:tc>
      </w:tr>
      <w:tr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SOM — Serviceable Obtainable (M+12)</w:t>
            </w:r>
          </w:p>
        </w:tc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Abonnés oon.click actifs Year 1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50 000 personnes</w:t>
            </w:r>
          </w:p>
        </w:tc>
        <w:tc>
          <w:tcPr>
            <w:tcW w:type="dxa" w:w="2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Objectif business plan</w:t>
            </w:r>
          </w:p>
        </w:tc>
      </w:tr>
      <w:tr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Annonceurs TAM</w:t>
            </w:r>
          </w:p>
        </w:tc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PME et grandes entreprises avec budget digital en CI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25 000 entreprises</w:t>
            </w:r>
          </w:p>
        </w:tc>
        <w:tc>
          <w:tcPr>
            <w:tcW w:type="dxa" w:w="2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CEPICI 2024</w:t>
            </w:r>
          </w:p>
        </w:tc>
      </w:tr>
      <w:tr>
        <w:tc>
          <w:tcPr>
            <w:tcW w:type="dxa" w:w="18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Annonceurs SOM (M+12)</w:t>
            </w:r>
          </w:p>
        </w:tc>
        <w:tc>
          <w:tcPr>
            <w:tcW w:type="dxa" w:w="3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Annonceurs actifs oon.click Year 1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300 entreprises</w:t>
            </w:r>
          </w:p>
        </w:tc>
        <w:tc>
          <w:tcPr>
            <w:tcW w:type="dxa" w:w="23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Objectif business plan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1.2 Positionnement Concurrentiel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2760"/>
      </w:tblGrid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Concurrent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Force principale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Faiblesse</w:t>
            </w:r>
          </w:p>
        </w:tc>
        <w:tc>
          <w:tcPr>
            <w:tcW w:type="dxa" w:w="2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Avantage oon.click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Facebook Ads CI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Audience massive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Pas de rémunération utilisateur, complexe pour PME</w:t>
            </w:r>
          </w:p>
        </w:tc>
        <w:tc>
          <w:tcPr>
            <w:tcW w:type="dxa" w:w="2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Rémunération directe + ciblage local précis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Google Ads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Ciblage intent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Très cher, peu accessible aux PME locales</w:t>
            </w:r>
          </w:p>
        </w:tc>
        <w:tc>
          <w:tcPr>
            <w:tcW w:type="dxa" w:w="2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Budget accessible (5k FCFA min), langue locale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Autres apps reward (Swagbucks, etc.)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Modèle connu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Non adaptées au marché africain, paiement USD</w:t>
            </w:r>
          </w:p>
        </w:tc>
        <w:tc>
          <w:tcPr>
            <w:tcW w:type="dxa" w:w="2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100% local, Mobile Money, FCFA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Bouche-à-oreille / SMS marketing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Zero coût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Pas de ciblage, pas de tracking</w:t>
            </w:r>
          </w:p>
        </w:tc>
        <w:tc>
          <w:tcPr>
            <w:tcW w:type="dxa" w:w="27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ROI mesurable + ciblage multicritères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 STRATÉGIE DE LANCEMENT</w:t>
            </w:r>
          </w:p>
          <w:p>
            <w:r>
              <w:rPr>
                <w:rFonts w:ascii="Arial" w:cs="Arial" w:eastAsia="Arial" w:hAnsi="Arial"/>
                <w:i/>
                <w:iCs/>
                <w:color w:val="A8C4E0"/>
                <w:sz w:val="18"/>
                <w:szCs w:val="18"/>
              </w:rPr>
              <w:t xml:space="preserve">Phases &amp; Tactiques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2.1 Phase Pré-lancement (M-2 → M0)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Constituer une liste de 500 early adopters (formulaire Google Forms + WhatsApp)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Recruter 20 microinfluenceurs locaux Abidjan (5k-50k followers Instagram/TikTok)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Nouer 5 partenariats annonceurs fondateurs (grandes marques CI pour crédibilité)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Créer la communauté WhatsApp 'oon.click Beta' avec animations quotidiennes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Produire 10 vidéos courtes de démonstration pour TikTok/Instagram Reels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Préparer le kit presse : communiqué, screenshots, vidéo de démo 60s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2.2 Phase Lancement (M0 → M+2)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Événement de lancement physique à Abidjan (200 invités : influenceurs, PME, presse)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Campagne 'Inscrivez-vous et gagnez 500 FCFA' sur Facebook, Instagram, TikTok CI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Programme parrainage actif dès J1 (code unique, +300 FCFA/filleul inscrit)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Opération terrain : 10 points d'inscription à Abidjan (Cocody, Marcory, Yopougon, Plateau)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Partenariat avec 3 universités (INPHB, UFHB, ISTC) pour inscription étudiants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Press coverage : Fraternité Matin, Abidjan.net, La Matinale, radio RTI2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2.3 Phase Croissance (M+3 → M+12)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Activation du programme Créateurs Officiels OON (commission récurrente)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Campagnes saisonnières : Ramadan, Rentrée scolaire, 7 août, Noël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Expansion vers Bouaké, Korhogo, San-Pédro (opérations terrain)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Partenariats opérateurs : négociation zero-rating Orange CI / MTN CI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Programme OON for Business : ciblage agences et grandes entreprises (SODECI, CIE, banques)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Activation du mode Diaspora : campagne WhatsApp communautés ivoiriennes de France/Canada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 STRATÉGIE D'ACQUISITION</w:t>
            </w:r>
          </w:p>
          <w:p>
            <w:r>
              <w:rPr>
                <w:rFonts w:ascii="Arial" w:cs="Arial" w:eastAsia="Arial" w:hAnsi="Arial"/>
                <w:i/>
                <w:iCs/>
                <w:color w:val="A8C4E0"/>
                <w:sz w:val="18"/>
                <w:szCs w:val="18"/>
              </w:rPr>
              <w:t xml:space="preserve">Canaux &amp; Coûts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560"/>
        <w:gridCol w:w="1600"/>
      </w:tblGrid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Cible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 mensuel (FCFA)</w:t>
            </w:r>
          </w:p>
        </w:tc>
        <w:tc>
          <w:tcPr>
            <w:tcW w:type="dxa" w:w="1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CAC Estimé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Facebook/Instagram Ads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Abonnés 18-45 ans CI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500 000</w:t>
            </w:r>
          </w:p>
        </w:tc>
        <w:tc>
          <w:tcPr>
            <w:tcW w:type="dxa" w:w="1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1 500 FCFA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Inscriptions, coût/install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TikTok Ads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Abonnés 18-28 ans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200 000</w:t>
            </w:r>
          </w:p>
        </w:tc>
        <w:tc>
          <w:tcPr>
            <w:tcW w:type="dxa" w:w="1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1 200 FCFA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Vues vidéo, taux install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Programme Parrainage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Abonnés actifs (viral)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0 (bonus absorbé)</w:t>
            </w:r>
          </w:p>
        </w:tc>
        <w:tc>
          <w:tcPr>
            <w:tcW w:type="dxa" w:w="1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800 FCFA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Nb filleuls actifs/mois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Microinfluenceurs locaux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Grand public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300 000</w:t>
            </w:r>
          </w:p>
        </w:tc>
        <w:tc>
          <w:tcPr>
            <w:tcW w:type="dxa" w:w="1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2 000 FCFA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Reach, conversions trackées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Opérations Terrain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Zones peu connectées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400 000</w:t>
            </w:r>
          </w:p>
        </w:tc>
        <w:tc>
          <w:tcPr>
            <w:tcW w:type="dxa" w:w="1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1 800 FCFA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Inscriptions/jour terrain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Partenariats Universités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Étudiants (18-25 ans)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100 000</w:t>
            </w:r>
          </w:p>
        </w:tc>
        <w:tc>
          <w:tcPr>
            <w:tcW w:type="dxa" w:w="1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600 FCFA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Nb inscrits/campus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Relations Presse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Notoriété générale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50 000</w:t>
            </w:r>
          </w:p>
        </w:tc>
        <w:tc>
          <w:tcPr>
            <w:tcW w:type="dxa" w:w="1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Non mesuré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Mentions, articles</w:t>
            </w:r>
          </w:p>
        </w:tc>
      </w:tr>
      <w:tr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SEO / Blog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Annonceurs PME</w:t>
            </w:r>
          </w:p>
        </w:tc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100 000</w:t>
            </w:r>
          </w:p>
        </w:tc>
        <w:tc>
          <w:tcPr>
            <w:tcW w:type="dxa" w:w="1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3 000 FCFA</w:t>
            </w:r>
          </w:p>
        </w:tc>
        <w:tc>
          <w:tcPr>
            <w:tcW w:type="dxa" w:w="1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Trafic organique, leads B2B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 STRATÉGIE ANNONCEURS (B2B)</w:t>
            </w:r>
          </w:p>
          <w:p>
            <w:r>
              <w:rPr>
                <w:rFonts w:ascii="Arial" w:cs="Arial" w:eastAsia="Arial" w:hAnsi="Arial"/>
                <w:i/>
                <w:iCs/>
                <w:color w:val="A8C4E0"/>
                <w:sz w:val="18"/>
                <w:szCs w:val="18"/>
              </w:rPr>
              <w:t xml:space="preserve">Acquisition &amp; Fidélisation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4.1 Segmentation Annonceurs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tcW w:type="dxa" w:w="2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Approche commerciale</w:t>
            </w:r>
          </w:p>
        </w:tc>
        <w:tc>
          <w:tcPr>
            <w:tcW w:type="dxa" w:w="2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Offre prioritaire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Micro-annonceurs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Artisans, commerçants, prestataires individuels</w:t>
            </w:r>
          </w:p>
        </w:tc>
        <w:tc>
          <w:tcPr>
            <w:tcW w:type="dxa" w:w="2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Self-serve OON Express</w:t>
            </w:r>
          </w:p>
        </w:tc>
        <w:tc>
          <w:tcPr>
            <w:tcW w:type="dxa" w:w="2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Budget 5k-25k FCFA, OON Express 3min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PME locales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Restaurants, boutiques, services (10-50 salariés)</w:t>
            </w:r>
          </w:p>
        </w:tc>
        <w:tc>
          <w:tcPr>
            <w:tcW w:type="dxa" w:w="2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Télévente + démo en ligne</w:t>
            </w:r>
          </w:p>
        </w:tc>
        <w:tc>
          <w:tcPr>
            <w:tcW w:type="dxa" w:w="2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Compte prépayé + templates créatifs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Moyennes entreprises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Marques CI (100-500 salariés)</w:t>
            </w:r>
          </w:p>
        </w:tc>
        <w:tc>
          <w:tcPr>
            <w:tcW w:type="dxa" w:w="2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Account Manager dédié</w:t>
            </w:r>
          </w:p>
        </w:tc>
        <w:tc>
          <w:tcPr>
            <w:tcW w:type="dxa" w:w="2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OON Pro Business + A/B test + formats premium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Grandes entreprises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Groupes nationaux et régionaux</w:t>
            </w:r>
          </w:p>
        </w:tc>
        <w:tc>
          <w:tcPr>
            <w:tcW w:type="dxa" w:w="2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Contrat cadre annuel</w:t>
            </w:r>
          </w:p>
        </w:tc>
        <w:tc>
          <w:tcPr>
            <w:tcW w:type="dxa" w:w="2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Season Pass Gold + API + white glove service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Agences pub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Gérant les budgets de plusieurs marques</w:t>
            </w:r>
          </w:p>
        </w:tc>
        <w:tc>
          <w:tcPr>
            <w:tcW w:type="dxa" w:w="26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OON for Business</w:t>
            </w:r>
          </w:p>
        </w:tc>
        <w:tc>
          <w:tcPr>
            <w:tcW w:type="dxa" w:w="2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Commission agence + tableau de bord multi-comptes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4.2 Pipeline Commercial Annonceurs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Prospection : liste de 500 PME/entreprises CI à contacter (LinkedIn, CEPICI, annuaires)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Démonstration : démo 20min online ou en présentiel (tableau de bord + simulateur de campagne)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Essai gratuit : 1ère campagne à 50% de réduction pour tout nouvel annonceur vérifié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Onboarding : accompagnement création de la 1ère campagne par l'équipe oon.click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1C2B3A"/>
          <w:sz w:val="21"/>
          <w:szCs w:val="21"/>
        </w:rPr>
        <w:t xml:space="preserve">Fidélisation : newsletter mensuelle avec benchmarks secteur + nouvelles fonctionnalités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 PLAN DE COMMUNICATION</w:t>
            </w:r>
          </w:p>
          <w:p>
            <w:r>
              <w:rPr>
                <w:rFonts w:ascii="Arial" w:cs="Arial" w:eastAsia="Arial" w:hAnsi="Arial"/>
                <w:i/>
                <w:iCs/>
                <w:color w:val="A8C4E0"/>
                <w:sz w:val="18"/>
                <w:szCs w:val="18"/>
              </w:rPr>
              <w:t xml:space="preserve">Messages &amp; Calendrier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1960"/>
      </w:tblGrid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Clé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 principal</w:t>
            </w:r>
          </w:p>
        </w:tc>
        <w:tc>
          <w:tcPr>
            <w:tcW w:type="dxa" w:w="1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Tonalité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Abonnés (grand public)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Regarde une pub, gagne de l'argent. Aussi simple que ça.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TikTok, WhatsApp, radio</w:t>
            </w:r>
          </w:p>
        </w:tc>
        <w:tc>
          <w:tcPr>
            <w:tcW w:type="dxa" w:w="1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Simple, direct, excitant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Annonceurs PME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Touchez exactement vos clients. Payez uniquement les vues réelles.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LinkedIn, email, téléphone</w:t>
            </w:r>
          </w:p>
        </w:tc>
        <w:tc>
          <w:tcPr>
            <w:tcW w:type="dxa" w:w="1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Professionnel, ROI-driven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Étudiants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Gagne jusqu'à 5 000 FCFA/mois rien qu'en regardant des pubs sur ton phone.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Instagram, TikTok, campus</w:t>
            </w:r>
          </w:p>
        </w:tc>
        <w:tc>
          <w:tcPr>
            <w:tcW w:type="dxa" w:w="1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Jeune, dynamique, viral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Diaspora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Regarde des pubs depuis Paris. Ta mère reçoit l'argent à Abidjan.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WhatsApp communautés, Facebook diaspora</w:t>
            </w:r>
          </w:p>
        </w:tc>
        <w:tc>
          <w:tcPr>
            <w:tcW w:type="dxa" w:w="1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Émotionnel, famille, solidarité</w:t>
            </w:r>
          </w:p>
        </w:tc>
      </w:tr>
      <w:tr>
        <w:tc>
          <w:tcPr>
            <w:tcW w:type="dxa" w:w="20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Presse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oon.click : la première startup africaine qui rémunère l'attention publicitaire.</w:t>
            </w:r>
          </w:p>
        </w:tc>
        <w:tc>
          <w:tcPr>
            <w:tcW w:type="dxa" w:w="2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Communiqué de presse, conf de presse</w:t>
            </w:r>
          </w:p>
        </w:tc>
        <w:tc>
          <w:tcPr>
            <w:tcW w:type="dxa" w:w="19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Institutionnel, innovation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5.1 Calendrier éditorial (M+1 → M+3)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00"/>
        <w:gridCol w:w="2560"/>
      </w:tblGrid>
      <w:tr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Semaine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2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A3C6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S+1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Annonce officielle du lancement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Tous canaux</w:t>
            </w:r>
          </w:p>
        </w:tc>
        <w:tc>
          <w:tcPr>
            <w:tcW w:type="dxa" w:w="2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CEO + Marketing</w:t>
            </w:r>
          </w:p>
        </w:tc>
      </w:tr>
      <w:tr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S+1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Go live App Store + Play Store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Stores + réseaux sociaux</w:t>
            </w:r>
          </w:p>
        </w:tc>
        <w:tc>
          <w:tcPr>
            <w:tcW w:type="dxa" w:w="2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Tech + Marketing</w:t>
            </w:r>
          </w:p>
        </w:tc>
      </w:tr>
      <w:tr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S+2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Lancement campagne 'Gagne 500 FCFA'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Facebook Ads + TikTok</w:t>
            </w:r>
          </w:p>
        </w:tc>
        <w:tc>
          <w:tcPr>
            <w:tcW w:type="dxa" w:w="2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Marketing</w:t>
            </w:r>
          </w:p>
        </w:tc>
      </w:tr>
      <w:tr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S+2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Activation microinfluenceurs (10 posts simultanés)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Instagram/TikTok</w:t>
            </w:r>
          </w:p>
        </w:tc>
        <w:tc>
          <w:tcPr>
            <w:tcW w:type="dxa" w:w="2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Partenariats</w:t>
            </w:r>
          </w:p>
        </w:tc>
      </w:tr>
      <w:tr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S+3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Opération terrain Abidjan (3 jours)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Terrain + WhatsApp live</w:t>
            </w:r>
          </w:p>
        </w:tc>
        <w:tc>
          <w:tcPr>
            <w:tcW w:type="dxa" w:w="2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Ops + Marketing</w:t>
            </w:r>
          </w:p>
        </w:tc>
      </w:tr>
      <w:tr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S+4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1er bilan public (nb inscrits, témoignages)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Réseaux sociaux + presse</w:t>
            </w:r>
          </w:p>
        </w:tc>
        <w:tc>
          <w:tcPr>
            <w:tcW w:type="dxa" w:w="2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CEO + Marketing</w:t>
            </w:r>
          </w:p>
        </w:tc>
      </w:tr>
      <w:tr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M+2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Lancement programme Créateurs Officiels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Newsletter + LinkedIn</w:t>
            </w:r>
          </w:p>
        </w:tc>
        <w:tc>
          <w:tcPr>
            <w:tcW w:type="dxa" w:w="2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5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Partenariats</w:t>
            </w:r>
          </w:p>
        </w:tc>
      </w:tr>
      <w:tr>
        <w:tc>
          <w:tcPr>
            <w:tcW w:type="dxa" w:w="1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M+3</w:t>
            </w:r>
          </w:p>
        </w:tc>
        <w:tc>
          <w:tcPr>
            <w:tcW w:type="dxa" w:w="32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Campagne annonceurs : 'Votre 1ère pub à -50%'</w:t>
            </w:r>
          </w:p>
        </w:tc>
        <w:tc>
          <w:tcPr>
            <w:tcW w:type="dxa" w:w="240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Email B2B + LinkedIn</w:t>
            </w:r>
          </w:p>
        </w:tc>
        <w:tc>
          <w:tcPr>
            <w:tcW w:type="dxa" w:w="2560"/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Commercial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00A878" w:sz="4" w:space="1"/>
        </w:pBdr>
        <w:spacing w:before="60" w:after="60"/>
      </w:pPr>
      <w:r>
        <w:t xml:space="preserve"/>
      </w:r>
    </w:p>
    <w:p>
      <w:pPr>
        <w:spacing w:before="60" w:after="0"/>
        <w:jc w:val="center"/>
      </w:pPr>
      <w:r>
        <w:rPr>
          <w:rFonts w:ascii="Arial" w:cs="Arial" w:eastAsia="Arial" w:hAnsi="Arial"/>
          <w:b/>
          <w:bCs/>
          <w:color w:val="1A3C6E"/>
          <w:sz w:val="18"/>
          <w:szCs w:val="18"/>
        </w:rPr>
        <w:t xml:space="preserve">oon.click · Plan Go-to-Market v1.0 · Mars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CE8" w:sz="3" w:space="1"/>
      </w:pBdr>
      <w:spacing w:before="60" w:after="0"/>
    </w:pPr>
    <w:r>
      <w:rPr>
        <w:rFonts w:ascii="Arial" w:cs="Arial" w:eastAsia="Arial" w:hAnsi="Arial"/>
        <w:color w:val="6B7A8D"/>
        <w:sz w:val="15"/>
        <w:szCs w:val="15"/>
      </w:rPr>
      <w:t xml:space="preserve">GS2E / ERANOVE · Go-to-Market oon.click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78" w:sz="4" w:space="1"/>
      </w:pBdr>
      <w:tabs>
        <w:tab w:val="right" w:pos="9026"/>
      </w:tabs>
      <w:spacing w:before="0" w:after="80"/>
    </w:pPr>
    <w:r>
      <w:rPr>
        <w:rFonts w:ascii="Arial" w:cs="Arial" w:eastAsia="Arial" w:hAnsi="Arial"/>
        <w:b/>
        <w:bCs/>
        <w:color w:val="1A3C6E"/>
        <w:sz w:val="17"/>
        <w:szCs w:val="17"/>
      </w:rPr>
      <w:t xml:space="preserve">oon.click · Plan Go-to-Market v1.0</w:t>
    </w:r>
    <w:r>
      <w:rPr>
        <w:rFonts w:ascii="Arial" w:cs="Arial" w:eastAsia="Arial" w:hAnsi="Arial"/>
        <w:b/>
        <w:bCs/>
        <w:color w:val="E07B39"/>
        <w:sz w:val="17"/>
        <w:szCs w:val="17"/>
      </w:rPr>
      <w:t xml:space="preserve">	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1A3C6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00A8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2026-03-15T16:34:20.269Z</dcterms:created>
  <dcterms:modified xsi:type="dcterms:W3CDTF">2026-03-15T16:34:20.269Z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