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600"/>
              <w:left w:type="dxa" w:w="500"/>
              <w:bottom w:type="dxa" w:w="600"/>
              <w:right w:type="dxa" w:w="500"/>
            </w:tcMar>
          </w:tcPr>
          <w:p>
            <w:pPr>
              <w:spacing w:before="0" w:after="200"/>
              <w:jc w:val="center"/>
            </w:pPr>
            <w:r>
              <w:rPr>
                <w:rFonts w:ascii="Arial" w:cs="Arial" w:eastAsia="Arial" w:hAnsi="Arial"/>
                <w:b/>
                <w:bCs/>
                <w:color w:val="FFFFFF"/>
                <w:sz w:val="72"/>
                <w:szCs w:val="72"/>
              </w:rPr>
              <w:t xml:space="preserve">oon.click</w:t>
            </w:r>
          </w:p>
          <w:p>
            <w:pPr>
              <w:spacing w:before="0" w:after="120"/>
              <w:jc w:val="center"/>
            </w:pPr>
            <w:r>
              <w:rPr>
                <w:rFonts w:ascii="Arial" w:cs="Arial" w:eastAsia="Arial" w:hAnsi="Arial"/>
                <w:color w:val="A8C4E0"/>
                <w:sz w:val="36"/>
                <w:szCs w:val="36"/>
              </w:rPr>
              <w:t xml:space="preserve">Product Requirements Document</w:t>
            </w:r>
          </w:p>
          <w:p>
            <w:pPr>
              <w:spacing w:before="0" w:after="60"/>
              <w:jc w:val="center"/>
            </w:pPr>
            <w:r>
              <w:rPr>
                <w:rFonts w:ascii="Arial" w:cs="Arial" w:eastAsia="Arial" w:hAnsi="Arial"/>
                <w:b/>
                <w:bCs/>
                <w:color w:val="00A878"/>
                <w:sz w:val="26"/>
                <w:szCs w:val="26"/>
              </w:rPr>
              <w:t xml:space="preserve">Version 1.0 - Officiel</w:t>
            </w:r>
          </w:p>
          <w:p>
            <w:pPr>
              <w:spacing w:before="120" w:after="60"/>
              <w:jc w:val="center"/>
            </w:pPr>
            <w:r>
              <w:rPr>
                <w:rFonts w:ascii="Arial" w:cs="Arial" w:eastAsia="Arial" w:hAnsi="Arial"/>
                <w:i/>
                <w:iCs/>
                <w:color w:val="D0E8FF"/>
                <w:sz w:val="28"/>
                <w:szCs w:val="28"/>
              </w:rPr>
              <w:t xml:space="preserve">Plateforme de Publicite Remuneree</w:t>
            </w:r>
          </w:p>
          <w:p>
            <w:pPr>
              <w:spacing w:before="60" w:after="0"/>
              <w:jc w:val="center"/>
            </w:pPr>
            <w:r>
              <w:rPr>
                <w:rFonts w:ascii="Arial" w:cs="Arial" w:eastAsia="Arial" w:hAnsi="Arial"/>
                <w:color w:val="A8C4E0"/>
                <w:sz w:val="22"/>
                <w:szCs w:val="22"/>
              </w:rPr>
              <w:t xml:space="preserve">Web &amp; Mobile - Marche Afrique de l'Ouest - FCFA</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CE8" w:sz="1"/>
              <w:left w:val="single" w:color="D0DCE8" w:sz="1"/>
              <w:bottom w:val="single" w:color="D0DCE8" w:sz="1"/>
              <w:right w:val="single" w:color="D0DCE8" w:sz="1"/>
            </w:tcBorders>
            <w:shd w:fill="EBF2FA" w:val="clear"/>
            <w:tcMar>
              <w:top w:type="dxa" w:w="120"/>
              <w:left w:type="dxa" w:w="200"/>
              <w:bottom w:type="dxa" w:w="120"/>
              <w:right w:type="dxa" w:w="200"/>
            </w:tcMar>
          </w:tcPr>
          <w:p>
            <w:pPr>
              <w:spacing w:before="0" w:after="40"/>
            </w:pPr>
            <w:r>
              <w:rPr>
                <w:rFonts w:ascii="Arial" w:cs="Arial" w:eastAsia="Arial" w:hAnsi="Arial"/>
                <w:b/>
                <w:bCs/>
                <w:color w:val="1A3C6E"/>
                <w:sz w:val="18"/>
                <w:szCs w:val="18"/>
              </w:rPr>
              <w:t xml:space="preserve">INFORMATIONS DOCUMENT</w:t>
            </w:r>
          </w:p>
          <w:p>
            <w:pPr>
              <w:spacing w:before="20" w:after="20"/>
            </w:pPr>
            <w:r>
              <w:rPr>
                <w:rFonts w:ascii="Arial" w:cs="Arial" w:eastAsia="Arial" w:hAnsi="Arial"/>
                <w:b/>
                <w:bCs/>
                <w:color w:val="1C2B3A"/>
                <w:sz w:val="20"/>
                <w:szCs w:val="20"/>
              </w:rPr>
              <w:t xml:space="preserve">Statut : </w:t>
            </w:r>
            <w:r>
              <w:rPr>
                <w:rFonts w:ascii="Arial" w:cs="Arial" w:eastAsia="Arial" w:hAnsi="Arial"/>
                <w:color w:val="E07B39"/>
                <w:sz w:val="20"/>
                <w:szCs w:val="20"/>
              </w:rPr>
              <w:t xml:space="preserve">Confidentiel</w:t>
            </w:r>
          </w:p>
          <w:p>
            <w:pPr>
              <w:spacing w:before="20" w:after="20"/>
            </w:pPr>
            <w:r>
              <w:rPr>
                <w:rFonts w:ascii="Arial" w:cs="Arial" w:eastAsia="Arial" w:hAnsi="Arial"/>
                <w:b/>
                <w:bCs/>
                <w:color w:val="1C2B3A"/>
                <w:sz w:val="20"/>
                <w:szCs w:val="20"/>
              </w:rPr>
              <w:t xml:space="preserve">Version : </w:t>
            </w:r>
            <w:r>
              <w:rPr>
                <w:rFonts w:ascii="Arial" w:cs="Arial" w:eastAsia="Arial" w:hAnsi="Arial"/>
                <w:color w:val="1C2B3A"/>
                <w:sz w:val="20"/>
                <w:szCs w:val="20"/>
              </w:rPr>
              <w:t xml:space="preserve">1.0</w:t>
            </w:r>
          </w:p>
          <w:p>
            <w:pPr>
              <w:spacing w:before="20" w:after="20"/>
            </w:pPr>
            <w:r>
              <w:rPr>
                <w:rFonts w:ascii="Arial" w:cs="Arial" w:eastAsia="Arial" w:hAnsi="Arial"/>
                <w:b/>
                <w:bCs/>
                <w:color w:val="1C2B3A"/>
                <w:sz w:val="20"/>
                <w:szCs w:val="20"/>
              </w:rPr>
              <w:t xml:space="preserve">Date : </w:t>
            </w:r>
            <w:r>
              <w:rPr>
                <w:rFonts w:ascii="Arial" w:cs="Arial" w:eastAsia="Arial" w:hAnsi="Arial"/>
                <w:color w:val="1C2B3A"/>
                <w:sz w:val="20"/>
                <w:szCs w:val="20"/>
              </w:rPr>
              <w:t xml:space="preserve">Mars 2026</w:t>
            </w:r>
          </w:p>
          <w:p>
            <w:pPr>
              <w:spacing w:before="20" w:after="20"/>
            </w:pPr>
            <w:r>
              <w:rPr>
                <w:rFonts w:ascii="Arial" w:cs="Arial" w:eastAsia="Arial" w:hAnsi="Arial"/>
                <w:b/>
                <w:bCs/>
                <w:color w:val="1C2B3A"/>
                <w:sz w:val="20"/>
                <w:szCs w:val="20"/>
              </w:rPr>
              <w:t xml:space="preserve">Auteur : </w:t>
            </w:r>
            <w:r>
              <w:rPr>
                <w:rFonts w:ascii="Arial" w:cs="Arial" w:eastAsia="Arial" w:hAnsi="Arial"/>
                <w:color w:val="1C2B3A"/>
                <w:sz w:val="20"/>
                <w:szCs w:val="20"/>
              </w:rPr>
              <w:t xml:space="preserve">Direction DDI / GS2E</w:t>
            </w:r>
          </w:p>
        </w:tc>
        <w:tc>
          <w:tcPr>
            <w:tcW w:type="dxa" w:w="4680"/>
            <w:tcBorders>
              <w:top w:val="single" w:color="D0DCE8" w:sz="1"/>
              <w:left w:val="single" w:color="D0DCE8" w:sz="1"/>
              <w:bottom w:val="single" w:color="D0DCE8" w:sz="1"/>
              <w:right w:val="single" w:color="D0DCE8" w:sz="1"/>
            </w:tcBorders>
            <w:shd w:fill="F5F6FA" w:val="clear"/>
            <w:tcMar>
              <w:top w:type="dxa" w:w="120"/>
              <w:left w:type="dxa" w:w="200"/>
              <w:bottom w:type="dxa" w:w="120"/>
              <w:right w:type="dxa" w:w="200"/>
            </w:tcMar>
          </w:tcPr>
          <w:p>
            <w:pPr>
              <w:spacing w:before="0" w:after="40"/>
            </w:pPr>
            <w:r>
              <w:rPr>
                <w:rFonts w:ascii="Arial" w:cs="Arial" w:eastAsia="Arial" w:hAnsi="Arial"/>
                <w:b/>
                <w:bCs/>
                <w:color w:val="1A3C6E"/>
                <w:sz w:val="18"/>
                <w:szCs w:val="18"/>
              </w:rPr>
              <w:t xml:space="preserve">CHIFFRES CLÉS DU PRD</w:t>
            </w:r>
          </w:p>
          <w:p>
            <w:pPr>
              <w:spacing w:before="20" w:after="20"/>
            </w:pPr>
            <w:r>
              <w:rPr>
                <w:rFonts w:ascii="Arial" w:cs="Arial" w:eastAsia="Arial" w:hAnsi="Arial"/>
                <w:b/>
                <w:bCs/>
                <w:color w:val="00A878"/>
                <w:sz w:val="24"/>
                <w:szCs w:val="24"/>
              </w:rPr>
              <w:t xml:space="preserve">14 </w:t>
            </w:r>
            <w:r>
              <w:rPr>
                <w:rFonts w:ascii="Arial" w:cs="Arial" w:eastAsia="Arial" w:hAnsi="Arial"/>
                <w:color w:val="1C2B3A"/>
                <w:sz w:val="20"/>
                <w:szCs w:val="20"/>
              </w:rPr>
              <w:t xml:space="preserve">domaines fonctionnels analysés</w:t>
            </w:r>
          </w:p>
          <w:p>
            <w:pPr>
              <w:spacing w:before="20" w:after="20"/>
            </w:pPr>
            <w:r>
              <w:rPr>
                <w:rFonts w:ascii="Arial" w:cs="Arial" w:eastAsia="Arial" w:hAnsi="Arial"/>
                <w:b/>
                <w:bCs/>
                <w:color w:val="00A878"/>
                <w:sz w:val="24"/>
                <w:szCs w:val="24"/>
              </w:rPr>
              <w:t xml:space="preserve">84 </w:t>
            </w:r>
            <w:r>
              <w:rPr>
                <w:rFonts w:ascii="Arial" w:cs="Arial" w:eastAsia="Arial" w:hAnsi="Arial"/>
                <w:color w:val="1C2B3A"/>
                <w:sz w:val="20"/>
                <w:szCs w:val="20"/>
              </w:rPr>
              <w:t xml:space="preserve">fonctionnalités identifiées</w:t>
            </w:r>
          </w:p>
          <w:p>
            <w:pPr>
              <w:spacing w:before="20" w:after="20"/>
            </w:pPr>
            <w:r>
              <w:rPr>
                <w:rFonts w:ascii="Arial" w:cs="Arial" w:eastAsia="Arial" w:hAnsi="Arial"/>
                <w:b/>
                <w:bCs/>
                <w:color w:val="00A878"/>
                <w:sz w:val="24"/>
                <w:szCs w:val="24"/>
              </w:rPr>
              <w:t xml:space="preserve">18 </w:t>
            </w:r>
            <w:r>
              <w:rPr>
                <w:rFonts w:ascii="Arial" w:cs="Arial" w:eastAsia="Arial" w:hAnsi="Arial"/>
                <w:color w:val="1C2B3A"/>
                <w:sz w:val="20"/>
                <w:szCs w:val="20"/>
              </w:rPr>
              <w:t xml:space="preserve">semaines de roadmap MVP→Launch</w:t>
            </w:r>
          </w:p>
          <w:p>
            <w:pPr>
              <w:spacing w:before="20" w:after="20"/>
            </w:pPr>
            <w:r>
              <w:rPr>
                <w:rFonts w:ascii="Arial" w:cs="Arial" w:eastAsia="Arial" w:hAnsi="Arial"/>
                <w:b/>
                <w:bCs/>
                <w:color w:val="00A878"/>
                <w:sz w:val="24"/>
                <w:szCs w:val="24"/>
              </w:rPr>
              <w:t xml:space="preserve">3+ </w:t>
            </w:r>
            <w:r>
              <w:rPr>
                <w:rFonts w:ascii="Arial" w:cs="Arial" w:eastAsia="Arial" w:hAnsi="Arial"/>
                <w:color w:val="1C2B3A"/>
                <w:sz w:val="20"/>
                <w:szCs w:val="20"/>
              </w:rPr>
              <w:t xml:space="preserve">marchés adressables (CI, UEMOA, Diaspora)</w:t>
            </w:r>
          </w:p>
        </w:tc>
      </w:tr>
    </w:tbl>
    <w:p>
      <w:pPr>
        <w:spacing w:before="200" w:after="0"/>
      </w:pPr>
      <w:r>
        <w:t xml:space="preserve"/>
      </w:r>
    </w:p>
    <w:p>
      <w:pPr>
        <w:jc w:val="center"/>
      </w:pPr>
      <w:r>
        <w:rPr>
          <w:rFonts w:ascii="Arial" w:cs="Arial" w:eastAsia="Arial" w:hAnsi="Arial"/>
          <w:i/>
          <w:iCs/>
          <w:color w:val="6B7A8D"/>
          <w:sz w:val="18"/>
          <w:szCs w:val="18"/>
        </w:rPr>
        <w:t xml:space="preserve">Document produit avec la méthode BMAD</w:t>
      </w:r>
    </w:p>
    <w:p>
      <w:pPr>
        <w:jc w:val="center"/>
      </w:pPr>
      <w:r>
        <w:rPr>
          <w:rFonts w:ascii="Arial" w:cs="Arial" w:eastAsia="Arial" w:hAnsi="Arial"/>
          <w:i/>
          <w:iCs/>
          <w:color w:val="6B7A8D"/>
          <w:sz w:val="18"/>
          <w:szCs w:val="18"/>
        </w:rPr>
        <w:t xml:space="preserve">Breakthrough Method of Agile AI-Driven Development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1.  VISION &amp; RÉSUMÉ EXÉCUTIF</w:t>
            </w:r>
          </w:p>
          <w:p>
            <w:r>
              <w:rPr>
                <w:rFonts w:ascii="Arial" w:cs="Arial" w:eastAsia="Arial" w:hAnsi="Arial"/>
                <w:i/>
                <w:iCs/>
                <w:color w:val="A8C4E0"/>
                <w:sz w:val="20"/>
                <w:szCs w:val="20"/>
              </w:rPr>
              <w:t xml:space="preserve">Pourquoi oon.click existe</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1.1 Vision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1"/>
              <w:left w:val="single" w:color="1A3C6E" w:sz="12"/>
              <w:bottom w:val="single" w:color="1A3C6E" w:sz="1"/>
              <w:right w:val="single" w:color="1A3C6E" w:sz="1"/>
            </w:tcBorders>
            <w:shd w:fill="EBF2FA" w:val="clear"/>
            <w:tcMar>
              <w:top w:type="dxa" w:w="100"/>
              <w:left w:type="dxa" w:w="200"/>
              <w:bottom w:type="dxa" w:w="100"/>
              <w:right w:type="dxa" w:w="200"/>
            </w:tcMar>
          </w:tcPr>
          <w:p>
            <w:r>
              <w:rPr>
                <w:rFonts w:ascii="Arial" w:cs="Arial" w:eastAsia="Arial" w:hAnsi="Arial"/>
                <w:i/>
                <w:iCs/>
                <w:color w:val="1C2B3A"/>
                <w:sz w:val="22"/>
                <w:szCs w:val="22"/>
              </w:rPr>
              <w:t xml:space="preserve">oon.click est la première plateforme africaine de publicité rémunérée permettant aux annonceurs de cibler précisément leurs audiences et aux abonnés de gagner de l'argent réel en FCFA chaque fois qu'ils visionnent une publicité.</w:t>
            </w:r>
          </w:p>
        </w:tc>
      </w:tr>
    </w:tbl>
    <w:p>
      <w:pPr>
        <w:spacing w:before="100" w:after="0"/>
      </w:pPr>
      <w:r>
        <w:t xml:space="preserve"/>
      </w:r>
    </w:p>
    <w:p>
      <w:pPr>
        <w:spacing w:before="60" w:after="80"/>
      </w:pPr>
      <w:r>
        <w:rPr>
          <w:rFonts w:ascii="Arial" w:cs="Arial" w:eastAsia="Arial" w:hAnsi="Arial"/>
          <w:color w:val="1C2B3A"/>
          <w:sz w:val="22"/>
          <w:szCs w:val="22"/>
        </w:rPr>
        <w:t xml:space="preserve">Tagline : « Regarde une pub. Gagne de l'argent. »</w:t>
      </w:r>
    </w:p>
    <w:p>
      <w:pPr>
        <w:spacing w:before="80" w:after="0"/>
      </w:pPr>
      <w:r>
        <w:t xml:space="preserve"/>
      </w:r>
    </w:p>
    <w:p>
      <w:pPr>
        <w:pStyle w:val="Heading2"/>
        <w:spacing w:before="280" w:after="100"/>
      </w:pPr>
      <w:r>
        <w:rPr>
          <w:rFonts w:ascii="Arial" w:cs="Arial" w:eastAsia="Arial" w:hAnsi="Arial"/>
          <w:b/>
          <w:bCs/>
          <w:color w:val="1A3C6E"/>
          <w:sz w:val="28"/>
          <w:szCs w:val="28"/>
        </w:rPr>
        <w:t xml:space="preserve">1.2 Problèmes Résolus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Problème Résolu</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Annonceur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Impossibilité de cibler précisément des audiences locales qualifiées sur mobile en Afrique de l'Ouest avec un ROI mesurable.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Abonné</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Temps et attention accordés aux publicités numériques sans aucune rémunération en retour.</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Marché</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Faible taux d'engagement publicitaire digital dû à l'absence d'incitation financière directe.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PME locale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Coût élevé et complexité technique des outils de publicité digitale existants.</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1.3 Acteurs de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Acteur</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 &amp; Rôle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Abonné (Viewer)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Particulier inscrit gratuitement. Renseigne son profil, visionne les publicités ciblées et est rémunéré en FCFA. Peut retirer son solde via Mobile Money ou VISA.</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Annonceur</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Entreprise ou individu créant et finançant des campagnes publicitaires ciblées. Paie en fonction du nombre d'abonnés ciblés.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Administrateur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Équipe oon.click gérant la plateforme, les tarifs, les paiements, la modération et la configuration.</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Créateur / Influenceur</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Abonné à forte audience sur les réseaux sociaux, partenaire de diffusion officiel.</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Agence Publicitaire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Gère plusieurs comptes annonceurs via le compte OON Business.</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Agrégateur de Paiement</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Prestataire tiers (Paystack) gérant Mobile Money, VISA, Mastercard et PayPal. Paystack offre une couverture Afrique de l'Ouest stable et une API REST robuste.</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1.4 Modèle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Source de Revenus</w:t>
            </w:r>
          </w:p>
        </w:tc>
        <w:tc>
          <w:tcPr>
            <w:tcW w:type="dxa" w:w="57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Commission campagne (principal)</w:t>
            </w:r>
          </w:p>
        </w:tc>
        <w:tc>
          <w:tcPr>
            <w:tcW w:type="dxa" w:w="57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Marge entre prix facturé annonceur et rémunération reversée à l'abonné. Ex : 100 FCFA facturé, 60 FCFA reversé = 40 FCFA de marge.</w:t>
            </w:r>
          </w:p>
        </w:tc>
      </w:tr>
      <w:tr>
        <w:tc>
          <w:tcPr>
            <w:tcW w:type="dxa" w:w="36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Formats Publicitaires Premium</w:t>
            </w:r>
          </w:p>
        </w:tc>
        <w:tc>
          <w:tcPr>
            <w:tcW w:type="dxa" w:w="5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Scratch &amp; Win (+50%), Pub Interactive Sondage (+30%), OON Flash (+20%), Audio Ads.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Abonnement OON Pro Annonceur</w:t>
            </w:r>
          </w:p>
        </w:tc>
        <w:tc>
          <w:tcPr>
            <w:tcW w:type="dxa" w:w="57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Formules mensuelles : Starter 15k, Business 50k, Premium 150k FCFA/mois.</w:t>
            </w:r>
          </w:p>
        </w:tc>
      </w:tr>
      <w:tr>
        <w:tc>
          <w:tcPr>
            <w:tcW w:type="dxa" w:w="36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Marketplace Créatifs</w:t>
            </w:r>
          </w:p>
        </w:tc>
        <w:tc>
          <w:tcPr>
            <w:tcW w:type="dxa" w:w="5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Commission 10–15% sur les transactions entre annonceurs et prestataires créatifs.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Season Pass Annonceur</w:t>
            </w:r>
          </w:p>
        </w:tc>
        <w:tc>
          <w:tcPr>
            <w:tcW w:type="dxa" w:w="57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Packages trimestriels Bronze/Silver/Gold (1M à 8M FCFA/trimestre).</w:t>
            </w:r>
          </w:p>
        </w:tc>
      </w:tr>
      <w:tr>
        <w:tc>
          <w:tcPr>
            <w:tcW w:type="dxa" w:w="36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OON White-Label (futur)</w:t>
            </w:r>
          </w:p>
        </w:tc>
        <w:tc>
          <w:tcPr>
            <w:tcW w:type="dxa" w:w="57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Licence SaaS mensuelle + % des transactions pour les opérateurs tiers.</w:t>
            </w:r>
          </w:p>
        </w:tc>
      </w:tr>
      <w:tr>
        <w:tc>
          <w:tcPr>
            <w:tcW w:type="dxa" w:w="36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API Programmatique (futur)</w:t>
            </w:r>
          </w:p>
        </w:tc>
        <w:tc>
          <w:tcPr>
            <w:tcW w:type="dxa" w:w="57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Accès API pour agences avec pricing par volume de requêtes.</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1.5 Paramètres Tarifaires de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Valeur (configurable en admin)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Prix de base annonceur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100 FCFA / abonné ciblé</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Budget minimum campagne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FCFA (50 abonnés)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Bonus inscription abonné</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500 FCFA à la complétion du profil</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Seuil de retrait abonné</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5 000 FCFA minimum</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Rémunération par vue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Configurable en admin (fraction du 100 FCFA)</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Bonus offre Scratch &amp; Win</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20 à 500 FCFA aléatoires pondérés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Bonus abonné étudiant</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1 000 FCFA à la complétion (sur justificatif)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2.  ARCHITECTURE FONCTIONNELLE</w:t>
            </w:r>
          </w:p>
          <w:p>
            <w:r>
              <w:rPr>
                <w:rFonts w:ascii="Arial" w:cs="Arial" w:eastAsia="Arial" w:hAnsi="Arial"/>
                <w:i/>
                <w:iCs/>
                <w:color w:val="A8C4E0"/>
                <w:sz w:val="20"/>
                <w:szCs w:val="20"/>
              </w:rPr>
              <w:t xml:space="preserve">84 fonctionnalités · 14 domaines</w:t>
            </w:r>
          </w:p>
        </w:tc>
      </w:tr>
    </w:tbl>
    <w:p>
      <w:pPr>
        <w:spacing w:before="120" w:after="0"/>
      </w:pPr>
      <w:r>
        <w:t xml:space="preserve"/>
      </w:r>
    </w:p>
    <w:p>
      <w:pPr>
        <w:spacing w:before="60" w:after="80"/>
      </w:pPr>
      <w:r>
        <w:rPr>
          <w:rFonts w:ascii="Arial" w:cs="Arial" w:eastAsia="Arial" w:hAnsi="Arial"/>
          <w:color w:val="1C2B3A"/>
          <w:sz w:val="22"/>
          <w:szCs w:val="22"/>
        </w:rPr>
        <w:t xml:space="preserve">Le tableau ci-dessous présente la synthèse des 14 domaines fonctionnels identifiés lors de l'analyse BMAD approfondie du projet oon.click. Chaque domaine regroupe des fonctionnalités cohérentes, associées à leur niveau de priorité et à leur impact estimé.</w:t>
      </w:r>
    </w:p>
    <w:p>
      <w:pPr>
        <w:spacing w:before="10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Gamification &amp; Engagement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Système de Niveaux Abonnés (Explorateur → Élite)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Rétention +40%</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Streaks &amp; Défis Quotidiens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DAU +35%</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Badges &amp; Collection</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Engagement +25%</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Classement &amp; Leaderboard régional</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Compétition saine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Scratch &amp; Win (Pub Mystère)</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Viralité +20%</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Mission Board (Quêtes hebdomadaires)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Sessions longues +50%</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F-07</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Roue de la Fortune hebdomadaire</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Ouverture app +30%</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Social &amp; Viralité</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Programme de Parrainage Structuré (Bronze/Silver/Gold)</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Acquisition ×3</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Partage Social de Pub avec tracking conversion</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Portée organique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Profil Public &amp; OON Score</w:t>
            </w:r>
          </w:p>
        </w:tc>
        <w:tc>
          <w:tcPr>
            <w:tcW w:type="dxa" w:w="1200"/>
            <w:tcBorders>
              <w:top w:val="single" w:color="D0DCE8" w:sz="1"/>
              <w:left w:val="single" w:color="D0DCE8" w:sz="1"/>
              <w:bottom w:val="single" w:color="D0DCE8" w:sz="1"/>
              <w:right w:val="single" w:color="D0DCE8" w:sz="1"/>
            </w:tcBorders>
            <w:shd w:fill="EBF2FA" w:val="clear"/>
            <w:tcMar>
              <w:top w:type="dxa" w:w="70"/>
              <w:left w:type="dxa" w:w="100"/>
              <w:bottom w:type="dxa" w:w="70"/>
              <w:right w:type="dxa" w:w="100"/>
            </w:tcMar>
          </w:tcPr>
          <w:p>
            <w:pPr>
              <w:jc w:val="center"/>
            </w:pPr>
            <w:r>
              <w:rPr>
                <w:rFonts w:ascii="Arial" w:cs="Arial" w:eastAsia="Arial" w:hAnsi="Arial"/>
                <w:color w:val="1A3C6E"/>
                <w:sz w:val="18"/>
                <w:szCs w:val="18"/>
              </w:rPr>
              <w:t xml:space="preserve">LOW</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Confiance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Challenges Communautaires sponsorisés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Cohésion</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Groupes &amp; Cercles thématiques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Rétention communautaire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Outils Annonceur Avancés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A/B Testing de Campagnes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ROI +30%</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Audiences Lookalike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Ciblage précision ×2</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Retargeting (Reciblage séquentiel)</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Conversion +50%</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Boost de Campagne (ajout budget en cours)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Flexibilité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Bibliothèque de Templates Publicitaires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Adoption PME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Reach Estimé en temps réel</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Confiance annonceur</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F-07</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Badge Annonceur Vérifié (RCCM/NIF)</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Qualité &amp; légitimité</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Formats Publicitaires Innovants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Pub Interactive : Sondage / Quiz post-vue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Engagement ×4</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Pub Countdown : Offre à durée limitée</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FOMO &amp; urgence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Pub Narrative : Série en Épisodes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Mémorisation marque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Audio Ads (Podcast-style, background)</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Multitâche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Pub Locale : Ciblage géolocalisé</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PME locales</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Pub Augmentée (AR Viewer)</w:t>
            </w:r>
          </w:p>
        </w:tc>
        <w:tc>
          <w:tcPr>
            <w:tcW w:type="dxa" w:w="1200"/>
            <w:tcBorders>
              <w:top w:val="single" w:color="D0DCE8" w:sz="1"/>
              <w:left w:val="single" w:color="D0DCE8" w:sz="1"/>
              <w:bottom w:val="single" w:color="D0DCE8" w:sz="1"/>
              <w:right w:val="single" w:color="D0DCE8" w:sz="1"/>
            </w:tcBorders>
            <w:shd w:fill="EBF2FA" w:val="clear"/>
            <w:tcMar>
              <w:top w:type="dxa" w:w="70"/>
              <w:left w:type="dxa" w:w="100"/>
              <w:bottom w:type="dxa" w:w="70"/>
              <w:right w:type="dxa" w:w="100"/>
            </w:tcMar>
          </w:tcPr>
          <w:p>
            <w:pPr>
              <w:jc w:val="center"/>
            </w:pPr>
            <w:r>
              <w:rPr>
                <w:rFonts w:ascii="Arial" w:cs="Arial" w:eastAsia="Arial" w:hAnsi="Arial"/>
                <w:color w:val="1A3C6E"/>
                <w:sz w:val="18"/>
                <w:szCs w:val="18"/>
              </w:rPr>
              <w:t xml:space="preserve">LOW</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WOW effect</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Confiance, Qualité &amp; Conformité</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Trust Score (0–100 par abonné)</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Anti-fraude systémique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Modération IA des Contenus (AWS Rekognition)</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Sécurité plateforme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Signalement &amp; Feedback sur les Pubs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Qualité &amp; légitimité</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Centre de Préférences Publicitaires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Satisfaction &amp; RGPD</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KYC Progressif (3 niveaux)</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Conformité BCEAO</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Charte Publicitaire &amp; Conformité Sectorielle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Légitimité légale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Intelligence &amp; Analytics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Smart Push Timing (IA de disponibilité)</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Taux ouverture +60%</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Dashboard BI Annonceur post-campagne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Valeur perçue annonceur</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Recommandations IA pour Annonceurs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Adoption &amp; fidélisation</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Carte de Chaleur Géographique</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Insight territorial</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Score de Pertinence Pub (Ad Relevance)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Qualité expérience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Prédiction de Churn &amp; Réactivation Auto</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Rétention proactive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Écosystème &amp; Expansion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API Publique Annonceurs (Programmatic)</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Scalabilité B2B</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OON for Business (Compte Multi-Annonceurs)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Agences &amp; grands comptes</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SDK (Diffusion dans apps partenaires)</w:t>
            </w:r>
          </w:p>
        </w:tc>
        <w:tc>
          <w:tcPr>
            <w:tcW w:type="dxa" w:w="1200"/>
            <w:tcBorders>
              <w:top w:val="single" w:color="D0DCE8" w:sz="1"/>
              <w:left w:val="single" w:color="D0DCE8" w:sz="1"/>
              <w:bottom w:val="single" w:color="D0DCE8" w:sz="1"/>
              <w:right w:val="single" w:color="D0DCE8" w:sz="1"/>
            </w:tcBorders>
            <w:shd w:fill="EBF2FA" w:val="clear"/>
            <w:tcMar>
              <w:top w:type="dxa" w:w="70"/>
              <w:left w:type="dxa" w:w="100"/>
              <w:bottom w:type="dxa" w:w="70"/>
              <w:right w:type="dxa" w:w="100"/>
            </w:tcMar>
          </w:tcPr>
          <w:p>
            <w:pPr>
              <w:jc w:val="center"/>
            </w:pPr>
            <w:r>
              <w:rPr>
                <w:rFonts w:ascii="Arial" w:cs="Arial" w:eastAsia="Arial" w:hAnsi="Arial"/>
                <w:color w:val="1A3C6E"/>
                <w:sz w:val="18"/>
                <w:szCs w:val="18"/>
              </w:rPr>
              <w:t xml:space="preserve">LOW</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Réseau élargi</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OON White-Label (SaaS Africa)</w:t>
            </w:r>
          </w:p>
        </w:tc>
        <w:tc>
          <w:tcPr>
            <w:tcW w:type="dxa" w:w="1200"/>
            <w:tcBorders>
              <w:top w:val="single" w:color="D0DCE8" w:sz="1"/>
              <w:left w:val="single" w:color="D0DCE8" w:sz="1"/>
              <w:bottom w:val="single" w:color="D0DCE8" w:sz="1"/>
              <w:right w:val="single" w:color="D0DCE8" w:sz="1"/>
            </w:tcBorders>
            <w:shd w:fill="EBF2FA" w:val="clear"/>
            <w:tcMar>
              <w:top w:type="dxa" w:w="70"/>
              <w:left w:type="dxa" w:w="100"/>
              <w:bottom w:type="dxa" w:w="70"/>
              <w:right w:type="dxa" w:w="100"/>
            </w:tcMar>
          </w:tcPr>
          <w:p>
            <w:pPr>
              <w:jc w:val="center"/>
            </w:pPr>
            <w:r>
              <w:rPr>
                <w:rFonts w:ascii="Arial" w:cs="Arial" w:eastAsia="Arial" w:hAnsi="Arial"/>
                <w:color w:val="1A3C6E"/>
                <w:sz w:val="18"/>
                <w:szCs w:val="18"/>
              </w:rPr>
              <w:t xml:space="preserve">LOW</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Expansion continentale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Programme Ambassadeurs Entreprises (B2B2C)</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Acquisition massive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Expérience Mobile &amp; Accessibilité</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Mode Hors-Ligne &amp; File d'Attente de crédits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Adoption zones rurales</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Mode Ultra-Économie de Data</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Inclusion numérique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Application Légère Flutter Lite (&lt; 10MB)</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Appareils entrée de gamme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Notifications Intelligentes &amp; DND</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Satisfaction &amp; non-spam</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Accessibilité WCAG 2.1 (TalkBack, VoiceOver)</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Inclusivité</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Widget &amp; Raccourci Écran d'Accueil</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Rappel passif quotidien</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Événementiel &amp; Saisonnier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Calendrier Publicitaire Africain (Tabaski, 7 août...)</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Pertinence culturelle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Campagnes Flash OON (diffusion en 2h)</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Urgence &amp; réactivité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Days (Journées thématiques x2 rémunération)</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Pics d'engagement</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Campagnes de Sensibilisation (ONG, Ministères)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Positionnement citoyen</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Season Pass Annonceur (3 mois garantis)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Revenus prévisibles</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Partenariats &amp; Intégrations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Intégration Opérateurs Télécoms (Orange, MTN, Moov)</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Distribution 20M+</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Intégration E-commerce Local (CTA achat + ROI)</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Boucle achat complète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Store (Annuaire Annonceurs)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Découverte &amp; trafic</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Programme Écoles &amp; Universités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Acquisition jeunes</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Intégration WhatsApp Business API</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Conversion directe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Learn &amp; Earn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Pubs Éducatives avec Quiz de Validation</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Différenciation forte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Micro-Formations Sponsorisées avec Certificats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Valeur utilisateur ++</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Partenariats Presse &amp; Médias Locaux</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Contenu de qualité</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OON Quiz Show hebdomadaire en direct</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Événement &amp; viralité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Bibliothèque de Ressources &amp; Certifications</w:t>
            </w:r>
          </w:p>
        </w:tc>
        <w:tc>
          <w:tcPr>
            <w:tcW w:type="dxa" w:w="1200"/>
            <w:tcBorders>
              <w:top w:val="single" w:color="D0DCE8" w:sz="1"/>
              <w:left w:val="single" w:color="D0DCE8" w:sz="1"/>
              <w:bottom w:val="single" w:color="D0DCE8" w:sz="1"/>
              <w:right w:val="single" w:color="D0DCE8" w:sz="1"/>
            </w:tcBorders>
            <w:shd w:fill="EBF2FA" w:val="clear"/>
            <w:tcMar>
              <w:top w:type="dxa" w:w="70"/>
              <w:left w:type="dxa" w:w="100"/>
              <w:bottom w:type="dxa" w:w="70"/>
              <w:right w:type="dxa" w:w="100"/>
            </w:tcMar>
          </w:tcPr>
          <w:p>
            <w:pPr>
              <w:jc w:val="center"/>
            </w:pPr>
            <w:r>
              <w:rPr>
                <w:rFonts w:ascii="Arial" w:cs="Arial" w:eastAsia="Arial" w:hAnsi="Arial"/>
                <w:color w:val="1A3C6E"/>
                <w:sz w:val="18"/>
                <w:szCs w:val="18"/>
              </w:rPr>
              <w:t xml:space="preserve">LOW</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Rétention long terme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Micro-Annonceurs &amp; Self-Serve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Express (Campagne en 3 Minutes)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Acquisition PME ×5</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Compte Prépayé Annonceur (OON Credits)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Fidélisation &amp; flexibilité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Duplication &amp; Optimisation de Campagne</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Productivité annonceur</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Abonnement Annonceur Mensuel (OON Pro)</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Revenus récurrents</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Marketplace de Services Créatifs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Écosystème créatif local</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Support &amp; Expérience Utilisateur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Onboarding Interactif Gamifié (7 étapes)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Activation +60%</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Assistant IA In-App OON Bot (nouchi compris)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Support coût -70%</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Centre d'Aide &amp; Tutoriels Vidéo hors-ligne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Autonomie utilisateur</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Système de Tickets &amp; Suivi de Litiges</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Confiance &amp; rétention</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NPS &amp; Feedback Continu</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Amélioration produit</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F-06</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Statut Système &amp; Communication Incidents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Transparence</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Diaspora &amp; Expansion Internationale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Mode Diaspora (gains envoyés vers Mobile Money CI)</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Marché 3M+ personnes</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Ciblage Culturel &amp; Ethnographique (opt-in)</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Pertinence culturelle</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Version USSD (Sans Smartphone)</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Inclusion totale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Multi-Devise &amp; Expansion UEMOA (8 pays)</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Marché 130M+</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Annonceurs Internationaux (Interface EN/FR, USD/EUR)</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Revenus premium</w:t>
            </w:r>
          </w:p>
        </w:tc>
      </w:tr>
    </w:tbl>
    <w:p>
      <w:pPr>
        <w:spacing w:before="80" w:after="0"/>
      </w:pPr>
      <w:r>
        <w:t xml:space="preserve"/>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1"/>
              <w:left w:val="single" w:color="00A878" w:sz="12"/>
              <w:bottom w:val="single" w:color="00A878" w:sz="1"/>
              <w:right w:val="single" w:color="00A878" w:sz="1"/>
            </w:tcBorders>
            <w:shd w:fill="EAF4F0" w:val="clear"/>
            <w:tcMar>
              <w:top w:type="dxa" w:w="80"/>
              <w:left w:type="dxa" w:w="160"/>
              <w:bottom w:type="dxa" w:w="80"/>
              <w:right w:type="dxa" w:w="160"/>
            </w:tcMar>
          </w:tcPr>
          <w:p>
            <w:r>
              <w:rPr>
                <w:rFonts w:ascii="Arial" w:cs="Arial" w:eastAsia="Arial" w:hAnsi="Arial"/>
                <w:b/>
                <w:bCs/>
                <w:color w:val="1A3C6E"/>
                <w:sz w:val="24"/>
                <w:szCs w:val="24"/>
              </w:rPr>
              <w:t xml:space="preserve">⭐  Programme Créateurs &amp; Influenceurs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200"/>
        <w:gridCol w:w="1960"/>
      </w:tblGrid>
      <w:tr>
        <w:tc>
          <w:tcPr>
            <w:tcW w:type="dxa" w:w="7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6B7A8D"/>
                <w:sz w:val="18"/>
                <w:szCs w:val="18"/>
              </w:rPr>
              <w:t xml:space="preserve">ID</w:t>
            </w:r>
          </w:p>
        </w:tc>
        <w:tc>
          <w:tcPr>
            <w:tcW w:type="dxa" w:w="55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Fonctionnalité</w:t>
            </w:r>
          </w:p>
        </w:tc>
        <w:tc>
          <w:tcPr>
            <w:tcW w:type="dxa" w:w="120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Priorité</w:t>
            </w:r>
          </w:p>
        </w:tc>
        <w:tc>
          <w:tcPr>
            <w:tcW w:type="dxa" w:w="1960"/>
            <w:tcBorders>
              <w:top w:val="single" w:color="D0DCE8" w:sz="1"/>
              <w:left w:val="single" w:color="D0DCE8" w:sz="1"/>
              <w:bottom w:val="single" w:color="D0DCE8" w:sz="1"/>
              <w:right w:val="single" w:color="D0DCE8" w:sz="1"/>
            </w:tcBorders>
            <w:shd w:fill="1A3C6E" w:val="clear"/>
            <w:tcMar>
              <w:top w:type="dxa" w:w="70"/>
              <w:left w:type="dxa" w:w="100"/>
              <w:bottom w:type="dxa" w:w="70"/>
              <w:right w:type="dxa" w:w="100"/>
            </w:tcMar>
          </w:tcPr>
          <w:p>
            <w:pPr>
              <w:jc w:val="left"/>
            </w:pPr>
            <w:r>
              <w:rPr>
                <w:rFonts w:ascii="Arial" w:cs="Arial" w:eastAsia="Arial" w:hAnsi="Arial"/>
                <w:b/>
                <w:bCs/>
                <w:color w:val="FFFFFF"/>
                <w:sz w:val="18"/>
                <w:szCs w:val="18"/>
              </w:rPr>
              <w:t xml:space="preserve">Impact estimé</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F-01</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Programme Créateurs Officiels OON Creator</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Acquisition virale</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F-02</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Pub Native Créateur (Contenu Sponsorisé)</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Authenticité &amp; engagement</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F-03</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Live (Pub en Streaming Live)</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Formats nouvelle génération</w:t>
            </w:r>
          </w:p>
        </w:tc>
      </w:tr>
      <w:tr>
        <w:tc>
          <w:tcPr>
            <w:tcW w:type="dxa" w:w="7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6B7A8D"/>
                <w:sz w:val="18"/>
                <w:szCs w:val="18"/>
              </w:rPr>
              <w:t xml:space="preserve">F-04</w:t>
            </w:r>
          </w:p>
        </w:tc>
        <w:tc>
          <w:tcPr>
            <w:tcW w:type="dxa" w:w="550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Réseau de Microinfluenceurs Locaux</w:t>
            </w:r>
          </w:p>
        </w:tc>
        <w:tc>
          <w:tcPr>
            <w:tcW w:type="dxa" w:w="1200"/>
            <w:tcBorders>
              <w:top w:val="single" w:color="D0DCE8" w:sz="1"/>
              <w:left w:val="single" w:color="D0DCE8" w:sz="1"/>
              <w:bottom w:val="single" w:color="D0DCE8" w:sz="1"/>
              <w:right w:val="single" w:color="D0DCE8" w:sz="1"/>
            </w:tcBorders>
            <w:shd w:fill="FFEEEE" w:val="clear"/>
            <w:tcMar>
              <w:top w:type="dxa" w:w="70"/>
              <w:left w:type="dxa" w:w="100"/>
              <w:bottom w:type="dxa" w:w="70"/>
              <w:right w:type="dxa" w:w="100"/>
            </w:tcMar>
          </w:tcPr>
          <w:p>
            <w:pPr>
              <w:jc w:val="center"/>
            </w:pPr>
            <w:r>
              <w:rPr>
                <w:rFonts w:ascii="Arial" w:cs="Arial" w:eastAsia="Arial" w:hAnsi="Arial"/>
                <w:color w:val="FF4444"/>
                <w:sz w:val="18"/>
                <w:szCs w:val="18"/>
              </w:rPr>
              <w:t xml:space="preserve">HIGH</w:t>
            </w:r>
          </w:p>
        </w:tc>
        <w:tc>
          <w:tcPr>
            <w:tcW w:type="dxa" w:w="1960"/>
            <w:tcBorders>
              <w:top w:val="single" w:color="D0DCE8" w:sz="1"/>
              <w:left w:val="single" w:color="D0DCE8" w:sz="1"/>
              <w:bottom w:val="single" w:color="D0DCE8" w:sz="1"/>
              <w:right w:val="single" w:color="D0DCE8" w:sz="1"/>
            </w:tcBorders>
            <w:shd w:fill="FFFFFF" w:val="clear"/>
            <w:tcMar>
              <w:top w:type="dxa" w:w="70"/>
              <w:left w:type="dxa" w:w="100"/>
              <w:bottom w:type="dxa" w:w="70"/>
              <w:right w:type="dxa" w:w="100"/>
            </w:tcMar>
          </w:tcPr>
          <w:p>
            <w:pPr>
              <w:jc w:val="left"/>
            </w:pPr>
            <w:r>
              <w:rPr>
                <w:rFonts w:ascii="Arial" w:cs="Arial" w:eastAsia="Arial" w:hAnsi="Arial"/>
                <w:color w:val="1C2B3A"/>
                <w:sz w:val="18"/>
                <w:szCs w:val="18"/>
              </w:rPr>
              <w:t xml:space="preserve">Capillarité terrain</w:t>
            </w:r>
          </w:p>
        </w:tc>
      </w:tr>
      <w:tr>
        <w:tc>
          <w:tcPr>
            <w:tcW w:type="dxa" w:w="7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6B7A8D"/>
                <w:sz w:val="18"/>
                <w:szCs w:val="18"/>
              </w:rPr>
              <w:t xml:space="preserve">F-05</w:t>
            </w:r>
          </w:p>
        </w:tc>
        <w:tc>
          <w:tcPr>
            <w:tcW w:type="dxa" w:w="550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OON Studio (Éditeur Créatif In-App)</w:t>
            </w:r>
          </w:p>
        </w:tc>
        <w:tc>
          <w:tcPr>
            <w:tcW w:type="dxa" w:w="1200"/>
            <w:tcBorders>
              <w:top w:val="single" w:color="D0DCE8" w:sz="1"/>
              <w:left w:val="single" w:color="D0DCE8" w:sz="1"/>
              <w:bottom w:val="single" w:color="D0DCE8" w:sz="1"/>
              <w:right w:val="single" w:color="D0DCE8" w:sz="1"/>
            </w:tcBorders>
            <w:shd w:fill="FDF3EC" w:val="clear"/>
            <w:tcMar>
              <w:top w:type="dxa" w:w="70"/>
              <w:left w:type="dxa" w:w="100"/>
              <w:bottom w:type="dxa" w:w="70"/>
              <w:right w:type="dxa" w:w="100"/>
            </w:tcMar>
          </w:tcPr>
          <w:p>
            <w:pPr>
              <w:jc w:val="center"/>
            </w:pPr>
            <w:r>
              <w:rPr>
                <w:rFonts w:ascii="Arial" w:cs="Arial" w:eastAsia="Arial" w:hAnsi="Arial"/>
                <w:color w:val="E07B39"/>
                <w:sz w:val="18"/>
                <w:szCs w:val="18"/>
              </w:rPr>
              <w:t xml:space="preserve">MEDIUM</w:t>
            </w:r>
          </w:p>
        </w:tc>
        <w:tc>
          <w:tcPr>
            <w:tcW w:type="dxa" w:w="1960"/>
            <w:tcBorders>
              <w:top w:val="single" w:color="D0DCE8" w:sz="1"/>
              <w:left w:val="single" w:color="D0DCE8" w:sz="1"/>
              <w:bottom w:val="single" w:color="D0DCE8" w:sz="1"/>
              <w:right w:val="single" w:color="D0DCE8" w:sz="1"/>
            </w:tcBorders>
            <w:shd w:fill="F5F6FA" w:val="clear"/>
            <w:tcMar>
              <w:top w:type="dxa" w:w="70"/>
              <w:left w:type="dxa" w:w="100"/>
              <w:bottom w:type="dxa" w:w="70"/>
              <w:right w:type="dxa" w:w="100"/>
            </w:tcMar>
          </w:tcPr>
          <w:p>
            <w:pPr>
              <w:jc w:val="left"/>
            </w:pPr>
            <w:r>
              <w:rPr>
                <w:rFonts w:ascii="Arial" w:cs="Arial" w:eastAsia="Arial" w:hAnsi="Arial"/>
                <w:color w:val="1C2B3A"/>
                <w:sz w:val="18"/>
                <w:szCs w:val="18"/>
              </w:rPr>
              <w:t xml:space="preserve">Autonomie créateurs</w:t>
            </w:r>
          </w:p>
        </w:tc>
      </w:tr>
    </w:tbl>
    <w:p>
      <w:pPr>
        <w:spacing w:before="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3.  EXIGENCES FONCTIONNELLES CLÉS</w:t>
            </w:r>
          </w:p>
          <w:p>
            <w:r>
              <w:rPr>
                <w:rFonts w:ascii="Arial" w:cs="Arial" w:eastAsia="Arial" w:hAnsi="Arial"/>
                <w:i/>
                <w:iCs/>
                <w:color w:val="A8C4E0"/>
                <w:sz w:val="20"/>
                <w:szCs w:val="20"/>
              </w:rPr>
              <w:t xml:space="preserve">Règles métier essentielles</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3.1 Profil Abonné &amp; Bonus Inscription</w:t>
      </w:r>
    </w:p>
    <w:p>
      <w:pPr>
        <w:pStyle w:val="ListParagraph"/>
        <w:numPr>
          <w:ilvl w:val="0"/>
          <w:numId w:val="2"/>
        </w:numPr>
        <w:spacing w:before="40" w:after="40"/>
      </w:pPr>
      <w:r>
        <w:rPr>
          <w:rFonts w:ascii="Arial" w:cs="Arial" w:eastAsia="Arial" w:hAnsi="Arial"/>
          <w:color w:val="1C2B3A"/>
          <w:sz w:val="22"/>
          <w:szCs w:val="22"/>
        </w:rPr>
        <w:t xml:space="preserve">Le formulaire de profil abonné est 100% configurable depuis l'espace admin (champs dynamiques en JSONB).</w:t>
      </w:r>
    </w:p>
    <w:p>
      <w:pPr>
        <w:pStyle w:val="ListParagraph"/>
        <w:numPr>
          <w:ilvl w:val="0"/>
          <w:numId w:val="2"/>
        </w:numPr>
        <w:spacing w:before="40" w:after="40"/>
      </w:pPr>
      <w:r>
        <w:rPr>
          <w:rFonts w:ascii="Arial" w:cs="Arial" w:eastAsia="Arial" w:hAnsi="Arial"/>
          <w:color w:val="1C2B3A"/>
          <w:sz w:val="22"/>
          <w:szCs w:val="22"/>
        </w:rPr>
        <w:t xml:space="preserve">Champs par défaut : Nom, Prénom, Date de naissance, Sexe, Téléphone, Ville/Commune, Quartier, Formation, Métier, Fonction, Tranche de salaire, Groupe sanguin, Centre(s) d'intérêt.</w:t>
      </w:r>
    </w:p>
    <w:p>
      <w:pPr>
        <w:pStyle w:val="ListParagraph"/>
        <w:numPr>
          <w:ilvl w:val="0"/>
          <w:numId w:val="2"/>
        </w:numPr>
        <w:spacing w:before="40" w:after="40"/>
      </w:pPr>
      <w:r>
        <w:rPr>
          <w:rFonts w:ascii="Arial" w:cs="Arial" w:eastAsia="Arial" w:hAnsi="Arial"/>
          <w:color w:val="1C2B3A"/>
          <w:sz w:val="22"/>
          <w:szCs w:val="22"/>
        </w:rPr>
        <w:t xml:space="preserve">Le bonus de 500 FCFA est crédité UNE SEULE FOIS par compte, uniquement à la complétion à 100% des champs obligatoires.</w:t>
      </w:r>
    </w:p>
    <w:p>
      <w:pPr>
        <w:pStyle w:val="ListParagraph"/>
        <w:numPr>
          <w:ilvl w:val="0"/>
          <w:numId w:val="2"/>
        </w:numPr>
        <w:spacing w:before="40" w:after="40"/>
      </w:pPr>
      <w:r>
        <w:rPr>
          <w:rFonts w:ascii="Arial" w:cs="Arial" w:eastAsia="Arial" w:hAnsi="Arial"/>
          <w:color w:val="1C2B3A"/>
          <w:sz w:val="22"/>
          <w:szCs w:val="22"/>
        </w:rPr>
        <w:t xml:space="preserve">Le profil peut être modifié après inscription mais le bonus n'est pas recalculé.</w:t>
      </w:r>
    </w:p>
    <w:p>
      <w:pPr>
        <w:pStyle w:val="ListParagraph"/>
        <w:numPr>
          <w:ilvl w:val="0"/>
          <w:numId w:val="2"/>
        </w:numPr>
        <w:spacing w:before="40" w:after="40"/>
      </w:pPr>
      <w:r>
        <w:rPr>
          <w:rFonts w:ascii="Arial" w:cs="Arial" w:eastAsia="Arial" w:hAnsi="Arial"/>
          <w:color w:val="1C2B3A"/>
          <w:sz w:val="22"/>
          <w:szCs w:val="22"/>
        </w:rPr>
        <w:t xml:space="preserve">Les champs optionnels (culturels, religieux) sont soumis à un consentement explicite distinct.</w:t>
      </w:r>
    </w:p>
    <w:p>
      <w:pPr>
        <w:spacing w:before="80" w:after="0"/>
      </w:pPr>
      <w:r>
        <w:t xml:space="preserve"/>
      </w:r>
    </w:p>
    <w:p>
      <w:pPr>
        <w:pStyle w:val="Heading2"/>
        <w:spacing w:before="280" w:after="100"/>
      </w:pPr>
      <w:r>
        <w:rPr>
          <w:rFonts w:ascii="Arial" w:cs="Arial" w:eastAsia="Arial" w:hAnsi="Arial"/>
          <w:b/>
          <w:bCs/>
          <w:color w:val="1A3C6E"/>
          <w:sz w:val="28"/>
          <w:szCs w:val="28"/>
        </w:rPr>
        <w:t xml:space="preserve">3.2 Campagnes Publicitaires</w:t>
      </w:r>
    </w:p>
    <w:p>
      <w:pPr>
        <w:pStyle w:val="ListParagraph"/>
        <w:numPr>
          <w:ilvl w:val="0"/>
          <w:numId w:val="2"/>
        </w:numPr>
        <w:spacing w:before="40" w:after="40"/>
      </w:pPr>
      <w:r>
        <w:rPr>
          <w:rFonts w:ascii="Arial" w:cs="Arial" w:eastAsia="Arial" w:hAnsi="Arial"/>
          <w:color w:val="1C2B3A"/>
          <w:sz w:val="22"/>
          <w:szCs w:val="22"/>
        </w:rPr>
        <w:t xml:space="preserve">Types de médias supportés : Image (JPG/PNG ≤ 5MB), Vidéo MP4 (≤ 30s, ≤ 50MB), Audio MP3 (≤ 30s, ≤ 10MB), Texte riche (≤ 1 000 caractères).</w:t>
      </w:r>
    </w:p>
    <w:p>
      <w:pPr>
        <w:pStyle w:val="ListParagraph"/>
        <w:numPr>
          <w:ilvl w:val="0"/>
          <w:numId w:val="2"/>
        </w:numPr>
        <w:spacing w:before="40" w:after="40"/>
      </w:pPr>
      <w:r>
        <w:rPr>
          <w:rFonts w:ascii="Arial" w:cs="Arial" w:eastAsia="Arial" w:hAnsi="Arial"/>
          <w:color w:val="1C2B3A"/>
          <w:sz w:val="22"/>
          <w:szCs w:val="22"/>
        </w:rPr>
        <w:t xml:space="preserve">Critères de ciblage disponibles : Âge (tranche), Sexe, Ville/Commune, Quartier, Formation, Métier, Fonction, Tranche de salaire, Groupe sanguin, Centres d'intérêt, Rayon géographique (km), Niveau OON (Explorateur → Élite).</w:t>
      </w:r>
    </w:p>
    <w:p>
      <w:pPr>
        <w:pStyle w:val="ListParagraph"/>
        <w:numPr>
          <w:ilvl w:val="0"/>
          <w:numId w:val="2"/>
        </w:numPr>
        <w:spacing w:before="40" w:after="40"/>
      </w:pPr>
      <w:r>
        <w:rPr>
          <w:rFonts w:ascii="Arial" w:cs="Arial" w:eastAsia="Arial" w:hAnsi="Arial"/>
          <w:color w:val="1C2B3A"/>
          <w:sz w:val="22"/>
          <w:szCs w:val="22"/>
        </w:rPr>
        <w:t xml:space="preserve">Le coût total est calculé automatiquement avant paiement : nombre d'abonnés matchant les critères × tarif/abonné.</w:t>
      </w:r>
    </w:p>
    <w:p>
      <w:pPr>
        <w:pStyle w:val="ListParagraph"/>
        <w:numPr>
          <w:ilvl w:val="0"/>
          <w:numId w:val="2"/>
        </w:numPr>
        <w:spacing w:before="40" w:after="40"/>
      </w:pPr>
      <w:r>
        <w:rPr>
          <w:rFonts w:ascii="Arial" w:cs="Arial" w:eastAsia="Arial" w:hAnsi="Arial"/>
          <w:color w:val="1C2B3A"/>
          <w:sz w:val="22"/>
          <w:szCs w:val="22"/>
        </w:rPr>
        <w:t xml:space="preserve">Une alerte est affichée si l'audience matchée est inférieure à 100 abonnés.</w:t>
      </w:r>
    </w:p>
    <w:p>
      <w:pPr>
        <w:pStyle w:val="ListParagraph"/>
        <w:numPr>
          <w:ilvl w:val="0"/>
          <w:numId w:val="2"/>
        </w:numPr>
        <w:spacing w:before="40" w:after="40"/>
      </w:pPr>
      <w:r>
        <w:rPr>
          <w:rFonts w:ascii="Arial" w:cs="Arial" w:eastAsia="Arial" w:hAnsi="Arial"/>
          <w:color w:val="1C2B3A"/>
          <w:sz w:val="22"/>
          <w:szCs w:val="22"/>
        </w:rPr>
        <w:t xml:space="preserve">Le paiement annonceur est obligatoire avant toute diffusion (système d'escrow strict).</w:t>
      </w:r>
    </w:p>
    <w:p>
      <w:pPr>
        <w:pStyle w:val="ListParagraph"/>
        <w:numPr>
          <w:ilvl w:val="0"/>
          <w:numId w:val="2"/>
        </w:numPr>
        <w:spacing w:before="40" w:after="40"/>
      </w:pPr>
      <w:r>
        <w:rPr>
          <w:rFonts w:ascii="Arial" w:cs="Arial" w:eastAsia="Arial" w:hAnsi="Arial"/>
          <w:color w:val="1C2B3A"/>
          <w:sz w:val="22"/>
          <w:szCs w:val="22"/>
        </w:rPr>
        <w:t xml:space="preserve">Une campagne est diffusée uniquement après modération et approbation par l'équipe oon.click (délai ≤ 2h ouvrables).</w:t>
      </w:r>
    </w:p>
    <w:p>
      <w:pPr>
        <w:pStyle w:val="ListParagraph"/>
        <w:numPr>
          <w:ilvl w:val="0"/>
          <w:numId w:val="2"/>
        </w:numPr>
        <w:spacing w:before="40" w:after="40"/>
      </w:pPr>
      <w:r>
        <w:rPr>
          <w:rFonts w:ascii="Arial" w:cs="Arial" w:eastAsia="Arial" w:hAnsi="Arial"/>
          <w:color w:val="1C2B3A"/>
          <w:sz w:val="22"/>
          <w:szCs w:val="22"/>
        </w:rPr>
        <w:t xml:space="preserve">Un rapport complet est automatiquement généré et envoyé à l'annonceur à la clôture de la campagne.</w:t>
      </w:r>
    </w:p>
    <w:p>
      <w:pPr>
        <w:spacing w:before="80" w:after="0"/>
      </w:pPr>
      <w:r>
        <w:t xml:space="preserve"/>
      </w:r>
    </w:p>
    <w:p>
      <w:pPr>
        <w:pStyle w:val="Heading2"/>
        <w:spacing w:before="280" w:after="100"/>
      </w:pPr>
      <w:r>
        <w:rPr>
          <w:rFonts w:ascii="Arial" w:cs="Arial" w:eastAsia="Arial" w:hAnsi="Arial"/>
          <w:b/>
          <w:bCs/>
          <w:color w:val="1A3C6E"/>
          <w:sz w:val="28"/>
          <w:szCs w:val="28"/>
        </w:rPr>
        <w:t xml:space="preserve">3.3 Rémunération Abonné</w:t>
      </w:r>
    </w:p>
    <w:p>
      <w:pPr>
        <w:pStyle w:val="ListParagraph"/>
        <w:numPr>
          <w:ilvl w:val="0"/>
          <w:numId w:val="2"/>
        </w:numPr>
        <w:spacing w:before="40" w:after="40"/>
      </w:pPr>
      <w:r>
        <w:rPr>
          <w:rFonts w:ascii="Arial" w:cs="Arial" w:eastAsia="Arial" w:hAnsi="Arial"/>
          <w:color w:val="1C2B3A"/>
          <w:sz w:val="22"/>
          <w:szCs w:val="22"/>
        </w:rPr>
        <w:t xml:space="preserve">Le crédit est déclenché UNIQUEMENT après consommation complète de la pub :</w:t>
      </w:r>
    </w:p>
    <w:p>
      <w:pPr>
        <w:pStyle w:val="ListParagraph"/>
        <w:numPr>
          <w:ilvl w:val="1"/>
          <w:numId w:val="2"/>
        </w:numPr>
        <w:spacing w:before="40" w:after="40"/>
      </w:pPr>
      <w:r>
        <w:rPr>
          <w:rFonts w:ascii="Arial" w:cs="Arial" w:eastAsia="Arial" w:hAnsi="Arial"/>
          <w:color w:val="1C2B3A"/>
          <w:sz w:val="22"/>
          <w:szCs w:val="22"/>
        </w:rPr>
        <w:t xml:space="preserve">Vidéo/Audio : visionnage/écoute intégrale (30s) validée par un timer côté serveur.</w:t>
      </w:r>
    </w:p>
    <w:p>
      <w:pPr>
        <w:pStyle w:val="ListParagraph"/>
        <w:numPr>
          <w:ilvl w:val="1"/>
          <w:numId w:val="2"/>
        </w:numPr>
        <w:spacing w:before="40" w:after="40"/>
      </w:pPr>
      <w:r>
        <w:rPr>
          <w:rFonts w:ascii="Arial" w:cs="Arial" w:eastAsia="Arial" w:hAnsi="Arial"/>
          <w:color w:val="1C2B3A"/>
          <w:sz w:val="22"/>
          <w:szCs w:val="22"/>
        </w:rPr>
        <w:t xml:space="preserve">Image : affichage pendant ≥ 5 secondes (timer actif, app au premier plan).</w:t>
      </w:r>
    </w:p>
    <w:p>
      <w:pPr>
        <w:pStyle w:val="ListParagraph"/>
        <w:numPr>
          <w:ilvl w:val="1"/>
          <w:numId w:val="2"/>
        </w:numPr>
        <w:spacing w:before="40" w:after="40"/>
      </w:pPr>
      <w:r>
        <w:rPr>
          <w:rFonts w:ascii="Arial" w:cs="Arial" w:eastAsia="Arial" w:hAnsi="Arial"/>
          <w:color w:val="1C2B3A"/>
          <w:sz w:val="22"/>
          <w:szCs w:val="22"/>
        </w:rPr>
        <w:t xml:space="preserve">Texte : scroll jusqu'en bas du contenu + délai de lecture estimé.</w:t>
      </w:r>
    </w:p>
    <w:p>
      <w:pPr>
        <w:pStyle w:val="ListParagraph"/>
        <w:numPr>
          <w:ilvl w:val="0"/>
          <w:numId w:val="2"/>
        </w:numPr>
        <w:spacing w:before="40" w:after="40"/>
      </w:pPr>
      <w:r>
        <w:rPr>
          <w:rFonts w:ascii="Arial" w:cs="Arial" w:eastAsia="Arial" w:hAnsi="Arial"/>
          <w:color w:val="1C2B3A"/>
          <w:sz w:val="22"/>
          <w:szCs w:val="22"/>
        </w:rPr>
        <w:t xml:space="preserve">Le montant crédité par vue est configurable dans l'espace admin (fraction du tarif annonceur).</w:t>
      </w:r>
    </w:p>
    <w:p>
      <w:pPr>
        <w:pStyle w:val="ListParagraph"/>
        <w:numPr>
          <w:ilvl w:val="0"/>
          <w:numId w:val="2"/>
        </w:numPr>
        <w:spacing w:before="40" w:after="40"/>
      </w:pPr>
      <w:r>
        <w:rPr>
          <w:rFonts w:ascii="Arial" w:cs="Arial" w:eastAsia="Arial" w:hAnsi="Arial"/>
          <w:color w:val="1C2B3A"/>
          <w:sz w:val="22"/>
          <w:szCs w:val="22"/>
        </w:rPr>
        <w:t xml:space="preserve">Un abonné ne peut pas visionner la même campagne plus d'une fois (déduplication stricte).</w:t>
      </w:r>
    </w:p>
    <w:p>
      <w:pPr>
        <w:pStyle w:val="ListParagraph"/>
        <w:numPr>
          <w:ilvl w:val="0"/>
          <w:numId w:val="2"/>
        </w:numPr>
        <w:spacing w:before="40" w:after="40"/>
      </w:pPr>
      <w:r>
        <w:rPr>
          <w:rFonts w:ascii="Arial" w:cs="Arial" w:eastAsia="Arial" w:hAnsi="Arial"/>
          <w:color w:val="1C2B3A"/>
          <w:sz w:val="22"/>
          <w:szCs w:val="22"/>
        </w:rPr>
        <w:t xml:space="preserve">Le crédit est visible en temps réel dans le solde de l'abonné (≤ 60 secondes après validation).</w:t>
      </w:r>
    </w:p>
    <w:p>
      <w:pPr>
        <w:spacing w:before="80" w:after="0"/>
      </w:pPr>
      <w:r>
        <w:t xml:space="preserve"/>
      </w:r>
    </w:p>
    <w:p>
      <w:pPr>
        <w:pStyle w:val="Heading2"/>
        <w:spacing w:before="280" w:after="100"/>
      </w:pPr>
      <w:r>
        <w:rPr>
          <w:rFonts w:ascii="Arial" w:cs="Arial" w:eastAsia="Arial" w:hAnsi="Arial"/>
          <w:b/>
          <w:bCs/>
          <w:color w:val="1A3C6E"/>
          <w:sz w:val="28"/>
          <w:szCs w:val="28"/>
        </w:rPr>
        <w:t xml:space="preserve">3.4 Retraits &amp; Paiements</w:t>
      </w:r>
    </w:p>
    <w:p>
      <w:pPr>
        <w:pStyle w:val="ListParagraph"/>
        <w:numPr>
          <w:ilvl w:val="0"/>
          <w:numId w:val="2"/>
        </w:numPr>
        <w:spacing w:before="40" w:after="40"/>
      </w:pPr>
      <w:r>
        <w:rPr>
          <w:rFonts w:ascii="Arial" w:cs="Arial" w:eastAsia="Arial" w:hAnsi="Arial"/>
          <w:color w:val="1C2B3A"/>
          <w:sz w:val="22"/>
          <w:szCs w:val="22"/>
        </w:rPr>
        <w:t xml:space="preserve">Un abonné peut demander un retrait uniquement si son solde disponible est ≥ 5 000 FCFA.</w:t>
      </w:r>
    </w:p>
    <w:p>
      <w:pPr>
        <w:pStyle w:val="ListParagraph"/>
        <w:numPr>
          <w:ilvl w:val="0"/>
          <w:numId w:val="2"/>
        </w:numPr>
        <w:spacing w:before="40" w:after="40"/>
      </w:pPr>
      <w:r>
        <w:rPr>
          <w:rFonts w:ascii="Arial" w:cs="Arial" w:eastAsia="Arial" w:hAnsi="Arial"/>
          <w:color w:val="1C2B3A"/>
          <w:sz w:val="22"/>
          <w:szCs w:val="22"/>
        </w:rPr>
        <w:t xml:space="preserve">Canaux de retrait : Mobile Money (Orange Money, MTN MoMo, Moov Money), VISA.</w:t>
      </w:r>
    </w:p>
    <w:p>
      <w:pPr>
        <w:pStyle w:val="ListParagraph"/>
        <w:numPr>
          <w:ilvl w:val="0"/>
          <w:numId w:val="2"/>
        </w:numPr>
        <w:spacing w:before="40" w:after="40"/>
      </w:pPr>
      <w:r>
        <w:rPr>
          <w:rFonts w:ascii="Arial" w:cs="Arial" w:eastAsia="Arial" w:hAnsi="Arial"/>
          <w:color w:val="1C2B3A"/>
          <w:sz w:val="22"/>
          <w:szCs w:val="22"/>
        </w:rPr>
        <w:t xml:space="preserve">KYC Niveau 1 requis (OTP téléphone) pour tout retrait. KYC Niveau 2 (CNI) requis au-delà de 10 000 FCFA.</w:t>
      </w:r>
    </w:p>
    <w:p>
      <w:pPr>
        <w:pStyle w:val="ListParagraph"/>
        <w:numPr>
          <w:ilvl w:val="0"/>
          <w:numId w:val="2"/>
        </w:numPr>
        <w:spacing w:before="40" w:after="40"/>
      </w:pPr>
      <w:r>
        <w:rPr>
          <w:rFonts w:ascii="Arial" w:cs="Arial" w:eastAsia="Arial" w:hAnsi="Arial"/>
          <w:color w:val="1C2B3A"/>
          <w:sz w:val="22"/>
          <w:szCs w:val="22"/>
        </w:rPr>
        <w:t xml:space="preserve">Délai de traitement : ≤ 24h ouvrables (objectif ≤ 4h à terme).</w:t>
      </w:r>
    </w:p>
    <w:p>
      <w:pPr>
        <w:pStyle w:val="ListParagraph"/>
        <w:numPr>
          <w:ilvl w:val="0"/>
          <w:numId w:val="2"/>
        </w:numPr>
        <w:spacing w:before="40" w:after="40"/>
      </w:pPr>
      <w:r>
        <w:rPr>
          <w:rFonts w:ascii="Arial" w:cs="Arial" w:eastAsia="Arial" w:hAnsi="Arial"/>
          <w:color w:val="1C2B3A"/>
          <w:sz w:val="22"/>
          <w:szCs w:val="22"/>
        </w:rPr>
        <w:t xml:space="preserve">L'annonceur paie via Mobile Money, VISA ou PayPal. Le paiement déclenche immédiatement le blocage escrow.</w:t>
      </w:r>
    </w:p>
    <w:p>
      <w:pPr>
        <w:spacing w:before="80" w:after="0"/>
      </w:pPr>
      <w:r>
        <w:t xml:space="preserve"/>
      </w:r>
    </w:p>
    <w:p>
      <w:pPr>
        <w:pStyle w:val="Heading2"/>
        <w:spacing w:before="280" w:after="100"/>
      </w:pPr>
      <w:r>
        <w:rPr>
          <w:rFonts w:ascii="Arial" w:cs="Arial" w:eastAsia="Arial" w:hAnsi="Arial"/>
          <w:b/>
          <w:bCs/>
          <w:color w:val="1A3C6E"/>
          <w:sz w:val="28"/>
          <w:szCs w:val="28"/>
        </w:rPr>
        <w:t xml:space="preserve">3.5 Administration Plateforme</w:t>
      </w:r>
    </w:p>
    <w:p>
      <w:pPr>
        <w:pStyle w:val="ListParagraph"/>
        <w:numPr>
          <w:ilvl w:val="0"/>
          <w:numId w:val="2"/>
        </w:numPr>
        <w:spacing w:before="40" w:after="40"/>
      </w:pPr>
      <w:r>
        <w:rPr>
          <w:rFonts w:ascii="Arial" w:cs="Arial" w:eastAsia="Arial" w:hAnsi="Arial"/>
          <w:color w:val="1C2B3A"/>
          <w:sz w:val="22"/>
          <w:szCs w:val="22"/>
        </w:rPr>
        <w:t xml:space="preserve">Tous les paramètres tarifaires sont modifiables sans redéploiement : tarif/abonné, bonus inscription, seuil retrait, tarifs formats premium.</w:t>
      </w:r>
    </w:p>
    <w:p>
      <w:pPr>
        <w:pStyle w:val="ListParagraph"/>
        <w:numPr>
          <w:ilvl w:val="0"/>
          <w:numId w:val="2"/>
        </w:numPr>
        <w:spacing w:before="40" w:after="40"/>
      </w:pPr>
      <w:r>
        <w:rPr>
          <w:rFonts w:ascii="Arial" w:cs="Arial" w:eastAsia="Arial" w:hAnsi="Arial"/>
          <w:color w:val="1C2B3A"/>
          <w:sz w:val="22"/>
          <w:szCs w:val="22"/>
        </w:rPr>
        <w:t xml:space="preserve">Le formulaire de profil abonné (champs, ordre, obligatoire/optionnel) est entièrement configurable en admin.</w:t>
      </w:r>
    </w:p>
    <w:p>
      <w:pPr>
        <w:pStyle w:val="ListParagraph"/>
        <w:numPr>
          <w:ilvl w:val="0"/>
          <w:numId w:val="2"/>
        </w:numPr>
        <w:spacing w:before="40" w:after="40"/>
      </w:pPr>
      <w:r>
        <w:rPr>
          <w:rFonts w:ascii="Arial" w:cs="Arial" w:eastAsia="Arial" w:hAnsi="Arial"/>
          <w:color w:val="1C2B3A"/>
          <w:sz w:val="22"/>
          <w:szCs w:val="22"/>
        </w:rPr>
        <w:t xml:space="preserve">L'admin peut suspendre, activer ou supprimer tout compte (abonné ou annonceur).</w:t>
      </w:r>
    </w:p>
    <w:p>
      <w:pPr>
        <w:pStyle w:val="ListParagraph"/>
        <w:numPr>
          <w:ilvl w:val="0"/>
          <w:numId w:val="2"/>
        </w:numPr>
        <w:spacing w:before="40" w:after="40"/>
      </w:pPr>
      <w:r>
        <w:rPr>
          <w:rFonts w:ascii="Arial" w:cs="Arial" w:eastAsia="Arial" w:hAnsi="Arial"/>
          <w:color w:val="1C2B3A"/>
          <w:sz w:val="22"/>
          <w:szCs w:val="22"/>
        </w:rPr>
        <w:t xml:space="preserve">Tableau de bord global en temps réel : abonnés actifs, CA du jour, campagnes en cours, alertes fraude.</w:t>
      </w:r>
    </w:p>
    <w:p>
      <w:pPr>
        <w:pStyle w:val="ListParagraph"/>
        <w:numPr>
          <w:ilvl w:val="0"/>
          <w:numId w:val="2"/>
        </w:numPr>
        <w:spacing w:before="40" w:after="40"/>
      </w:pPr>
      <w:r>
        <w:rPr>
          <w:rFonts w:ascii="Arial" w:cs="Arial" w:eastAsia="Arial" w:hAnsi="Arial"/>
          <w:color w:val="1C2B3A"/>
          <w:sz w:val="22"/>
          <w:szCs w:val="22"/>
        </w:rPr>
        <w:t xml:space="preserve">Toutes les actions admin sont loggées et auditables (qui a fait quoi, quand).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4.  EXIGENCES NON-FONCTIONNELLES</w:t>
            </w:r>
          </w:p>
          <w:p>
            <w:r>
              <w:rPr>
                <w:rFonts w:ascii="Arial" w:cs="Arial" w:eastAsia="Arial" w:hAnsi="Arial"/>
                <w:i/>
                <w:iCs/>
                <w:color w:val="A8C4E0"/>
                <w:sz w:val="20"/>
                <w:szCs w:val="20"/>
              </w:rPr>
              <w:t xml:space="preserve">Performance, Sécurité &amp; Conformité</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Exigence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Temps de chargement app (3G)</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&lt; 3 secondes pour l'écran principal</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Chargement d'une pub image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2 secondes via CDN Cloudflare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Buffering vidéo (3G)</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&lt; 5 secondes avant lecture fluide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Latence crédit après vue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60 secondes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Disponibilité plateforme (SLA)</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99.5% mensuel (environ 3h45 d'indispo/mois max)</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Capacité nominale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100 000 abonnés actifs simultanément — Phase 1</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Capacité cible (18 mois)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1 000 000 abonnés actifs</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4.2 Sécurité</w:t>
      </w:r>
    </w:p>
    <w:p>
      <w:pPr>
        <w:pStyle w:val="ListParagraph"/>
        <w:numPr>
          <w:ilvl w:val="0"/>
          <w:numId w:val="2"/>
        </w:numPr>
        <w:spacing w:before="40" w:after="40"/>
      </w:pPr>
      <w:r>
        <w:rPr>
          <w:rFonts w:ascii="Arial" w:cs="Arial" w:eastAsia="Arial" w:hAnsi="Arial"/>
          <w:color w:val="1C2B3A"/>
          <w:sz w:val="22"/>
          <w:szCs w:val="22"/>
        </w:rPr>
        <w:t xml:space="preserve">Chiffrement des données en transit : TLS 1.3 obligatoire sur toutes les communications.</w:t>
      </w:r>
    </w:p>
    <w:p>
      <w:pPr>
        <w:pStyle w:val="ListParagraph"/>
        <w:numPr>
          <w:ilvl w:val="0"/>
          <w:numId w:val="2"/>
        </w:numPr>
        <w:spacing w:before="40" w:after="40"/>
      </w:pPr>
      <w:r>
        <w:rPr>
          <w:rFonts w:ascii="Arial" w:cs="Arial" w:eastAsia="Arial" w:hAnsi="Arial"/>
          <w:color w:val="1C2B3A"/>
          <w:sz w:val="22"/>
          <w:szCs w:val="22"/>
        </w:rPr>
        <w:t xml:space="preserve">Chiffrement des données au repos : AES-256 pour les données sensibles (profils KYC, transactions).</w:t>
      </w:r>
    </w:p>
    <w:p>
      <w:pPr>
        <w:pStyle w:val="ListParagraph"/>
        <w:numPr>
          <w:ilvl w:val="0"/>
          <w:numId w:val="2"/>
        </w:numPr>
        <w:spacing w:before="40" w:after="40"/>
      </w:pPr>
      <w:r>
        <w:rPr>
          <w:rFonts w:ascii="Arial" w:cs="Arial" w:eastAsia="Arial" w:hAnsi="Arial"/>
          <w:color w:val="1C2B3A"/>
          <w:sz w:val="22"/>
          <w:szCs w:val="22"/>
        </w:rPr>
        <w:t xml:space="preserve">Authentification : JWT avec expiration courte (15 min) + Refresh Token rotatif.</w:t>
      </w:r>
    </w:p>
    <w:p>
      <w:pPr>
        <w:pStyle w:val="ListParagraph"/>
        <w:numPr>
          <w:ilvl w:val="0"/>
          <w:numId w:val="2"/>
        </w:numPr>
        <w:spacing w:before="40" w:after="40"/>
      </w:pPr>
      <w:r>
        <w:rPr>
          <w:rFonts w:ascii="Arial" w:cs="Arial" w:eastAsia="Arial" w:hAnsi="Arial"/>
          <w:color w:val="1C2B3A"/>
          <w:sz w:val="22"/>
          <w:szCs w:val="22"/>
        </w:rPr>
        <w:t xml:space="preserve">Rate limiting : 100 requêtes/minute par IP sur les endpoints publics.</w:t>
      </w:r>
    </w:p>
    <w:p>
      <w:pPr>
        <w:pStyle w:val="ListParagraph"/>
        <w:numPr>
          <w:ilvl w:val="0"/>
          <w:numId w:val="2"/>
        </w:numPr>
        <w:spacing w:before="40" w:after="40"/>
      </w:pPr>
      <w:r>
        <w:rPr>
          <w:rFonts w:ascii="Arial" w:cs="Arial" w:eastAsia="Arial" w:hAnsi="Arial"/>
          <w:color w:val="1C2B3A"/>
          <w:sz w:val="22"/>
          <w:szCs w:val="22"/>
        </w:rPr>
        <w:t xml:space="preserve">Anti-fraude temps réel : OON Trust Score, détection device fingerprint, limitation vues/jour/campagne.</w:t>
      </w:r>
    </w:p>
    <w:p>
      <w:pPr>
        <w:pStyle w:val="ListParagraph"/>
        <w:numPr>
          <w:ilvl w:val="0"/>
          <w:numId w:val="2"/>
        </w:numPr>
        <w:spacing w:before="40" w:after="40"/>
      </w:pPr>
      <w:r>
        <w:rPr>
          <w:rFonts w:ascii="Arial" w:cs="Arial" w:eastAsia="Arial" w:hAnsi="Arial"/>
          <w:color w:val="1C2B3A"/>
          <w:sz w:val="22"/>
          <w:szCs w:val="22"/>
        </w:rPr>
        <w:t xml:space="preserve">Pénétration Test obligatoire avant le lancement public (Phase 5).</w:t>
      </w:r>
    </w:p>
    <w:p>
      <w:pPr>
        <w:pStyle w:val="ListParagraph"/>
        <w:numPr>
          <w:ilvl w:val="0"/>
          <w:numId w:val="2"/>
        </w:numPr>
        <w:spacing w:before="40" w:after="40"/>
      </w:pPr>
      <w:r>
        <w:rPr>
          <w:rFonts w:ascii="Arial" w:cs="Arial" w:eastAsia="Arial" w:hAnsi="Arial"/>
          <w:color w:val="1C2B3A"/>
          <w:sz w:val="22"/>
          <w:szCs w:val="22"/>
        </w:rPr>
        <w:t xml:space="preserve">Accès admin : authentification 2FA obligatoire + logs d'audit complets.</w:t>
      </w:r>
    </w:p>
    <w:p>
      <w:pPr>
        <w:spacing w:before="80" w:after="0"/>
      </w:pPr>
      <w:r>
        <w:t xml:space="preserve"/>
      </w:r>
    </w:p>
    <w:p>
      <w:pPr>
        <w:pStyle w:val="Heading2"/>
        <w:spacing w:before="280" w:after="100"/>
      </w:pPr>
      <w:r>
        <w:rPr>
          <w:rFonts w:ascii="Arial" w:cs="Arial" w:eastAsia="Arial" w:hAnsi="Arial"/>
          <w:b/>
          <w:bCs/>
          <w:color w:val="1A3C6E"/>
          <w:sz w:val="28"/>
          <w:szCs w:val="28"/>
        </w:rPr>
        <w:t xml:space="preserve">4.3 Conformité Réglementaire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Réglementation</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Mesures de Conformité</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Loi ivoirienne sur les données personnelles (ARTCI)</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Consentement explicite à l'inscription, droit de rectification/suppression, DPO désigné.</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Réglementation BCEAO (transactions financières)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KYC progressif, plafonds par niveau, reporting des transactions &gt; seuils légaux.</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Charte publicitaire interne oon.click</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Secteurs interdits (tabac, alcool fort, jeux non agréés), modération IA + humaine avant diffusion.</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RGPD (pour abonnés diaspora en Europe)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Consentement granulaire, portabilité des données, délai de suppression ≤ 30 jours.</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4.4 Compatibilité &amp; Accessibilité</w:t>
      </w:r>
    </w:p>
    <w:p>
      <w:pPr>
        <w:pStyle w:val="ListParagraph"/>
        <w:numPr>
          <w:ilvl w:val="0"/>
          <w:numId w:val="2"/>
        </w:numPr>
        <w:spacing w:before="40" w:after="40"/>
      </w:pPr>
      <w:r>
        <w:rPr>
          <w:rFonts w:ascii="Arial" w:cs="Arial" w:eastAsia="Arial" w:hAnsi="Arial"/>
          <w:color w:val="1C2B3A"/>
          <w:sz w:val="22"/>
          <w:szCs w:val="22"/>
        </w:rPr>
        <w:t xml:space="preserve">Mobile Android : Android 8.0 (API 26) et versions supérieures.</w:t>
      </w:r>
    </w:p>
    <w:p>
      <w:pPr>
        <w:pStyle w:val="ListParagraph"/>
        <w:numPr>
          <w:ilvl w:val="0"/>
          <w:numId w:val="2"/>
        </w:numPr>
        <w:spacing w:before="40" w:after="40"/>
      </w:pPr>
      <w:r>
        <w:rPr>
          <w:rFonts w:ascii="Arial" w:cs="Arial" w:eastAsia="Arial" w:hAnsi="Arial"/>
          <w:color w:val="1C2B3A"/>
          <w:sz w:val="22"/>
          <w:szCs w:val="22"/>
        </w:rPr>
        <w:t xml:space="preserve">Mobile iOS : iOS 14.0 et versions supérieures.</w:t>
      </w:r>
    </w:p>
    <w:p>
      <w:pPr>
        <w:pStyle w:val="ListParagraph"/>
        <w:numPr>
          <w:ilvl w:val="0"/>
          <w:numId w:val="2"/>
        </w:numPr>
        <w:spacing w:before="40" w:after="40"/>
      </w:pPr>
      <w:r>
        <w:rPr>
          <w:rFonts w:ascii="Arial" w:cs="Arial" w:eastAsia="Arial" w:hAnsi="Arial"/>
          <w:color w:val="1C2B3A"/>
          <w:sz w:val="22"/>
          <w:szCs w:val="22"/>
        </w:rPr>
        <w:t xml:space="preserve">Web : Chrome 90+, Firefox 88+, Safari 14+, Edge 90+.</w:t>
      </w:r>
    </w:p>
    <w:p>
      <w:pPr>
        <w:pStyle w:val="ListParagraph"/>
        <w:numPr>
          <w:ilvl w:val="0"/>
          <w:numId w:val="2"/>
        </w:numPr>
        <w:spacing w:before="40" w:after="40"/>
      </w:pPr>
      <w:r>
        <w:rPr>
          <w:rFonts w:ascii="Arial" w:cs="Arial" w:eastAsia="Arial" w:hAnsi="Arial"/>
          <w:color w:val="1C2B3A"/>
          <w:sz w:val="22"/>
          <w:szCs w:val="22"/>
        </w:rPr>
        <w:t xml:space="preserve">Accessibilité : conformité WCAG 2.1 niveau AA (TalkBack, VoiceOver, contraste, taille texte).</w:t>
      </w:r>
    </w:p>
    <w:p>
      <w:pPr>
        <w:pStyle w:val="ListParagraph"/>
        <w:numPr>
          <w:ilvl w:val="0"/>
          <w:numId w:val="2"/>
        </w:numPr>
        <w:spacing w:before="40" w:after="40"/>
      </w:pPr>
      <w:r>
        <w:rPr>
          <w:rFonts w:ascii="Arial" w:cs="Arial" w:eastAsia="Arial" w:hAnsi="Arial"/>
          <w:color w:val="1C2B3A"/>
          <w:sz w:val="22"/>
          <w:szCs w:val="22"/>
        </w:rPr>
        <w:t xml:space="preserve">Internationalisation : Français (principal), Anglais (annonceurs internationaux), extensible à d'autres langues.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5.  ARCHITECTURE TECHNIQUE</w:t>
            </w:r>
          </w:p>
          <w:p>
            <w:r>
              <w:rPr>
                <w:rFonts w:ascii="Arial" w:cs="Arial" w:eastAsia="Arial" w:hAnsi="Arial"/>
                <w:i/>
                <w:iCs/>
                <w:color w:val="A8C4E0"/>
                <w:sz w:val="20"/>
                <w:szCs w:val="20"/>
              </w:rPr>
              <w:t xml:space="preserve">Stack &amp; Modules Backend</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5.1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Mobile App</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Flutter 3.x (iOS + Android — codebase unique)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Web Frontend</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React + TypeScript + Next.js + TailwindCSS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Backend API</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Node.js + NestJS (REST + WebSocket)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Base de données principale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PostgreSQL 15 (transactionnel)</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Cache &amp; Sessions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Redis 7 (sessions, anti-fraude, rate limiting)</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Stockage médias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AWS S3 + CloudFront CDN (vidéos, images, audios)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Paiements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Paystack (Orange Money, MTN, Moov, VISA, cartes bancaires) + PayPal SDK</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Notifications Push</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Firebase Cloud Messaging (FCM)</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Email / SMS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SendGrid (email) + Twilio (SMS)</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Authentification</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JWT + Refresh Token + OAuth2 (Google optionnel)</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Modération Contenu</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AWS Rekognition ou Hive Moderation API</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IA / ML</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Python + FastAPI (Smart Push, Trust Score, Churn Prediction)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Infrastructure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Docker + Kubernetes (GCP / AWS) — démarrage sur Railway/Render</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CI/CD</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GitHub Actions → déploiement automatique staging + prod</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Monitoring</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Sentry (erreurs) + Datadog (infra) + Grafana (métriques métier)</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5.2 Modules Backend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Responsabilités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auth-service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Inscription, connexion, gestion JWT/Refresh Token, rôles (ABONNÉ / ANNONCEUR / ADMIN / CRÉATEUR).</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profile-service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Formulaire dynamique abonné, gestion champs configurables (JSONB), déclenchement bonus inscription.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campaign-service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CRUD campagne, upload médias vers S3, définition critères ciblage, workflow modération, gestion des statuts.</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targeting-engine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Algorithme de matching abonnés ↔ critères campagne. SQL Query Builder dynamique. Calcul du reach estimé.</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delivery-service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File de distribution des pubs par abonné, tracking ouverture, validation engagement (timer serveur), anti-fraude.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wallet-service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Solde abonné (crédit/débit), escrow annonceur, historique transactions, gestion des demandes de retrait.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payment-service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Intégration agrégateur Paystack, initiation paiement, réception webhooks de confirmation, déclenchement escrow.</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reporting-service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Génération rapports campagne post-clôture, exports PDF/CSV, dashboards BI temps réel annonceur.</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admin-service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Configuration plateforme, modération contenu, gestion utilisateurs, paramétrage tarifs, logs d'audit.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notification-service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Orchestration push/email/SMS selon événements métier. Intégration Smart Push Timing (IA).</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trust-service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Calcul et mise à jour du OON Trust Score. Détection fraude. Prédiction churn. Ad Relevance Score.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creator-service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Gestion programme créateurs, tracking filleuls actifs, rémunération créateurs, OON Live.</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5.3 Schéma de Base de Données — Entités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Colonnes Principales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users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id, email, phone, role, status, kyc_level, created_at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subscriber_profiles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user_id, age, sexe, ville, formation, metier, fonction, salaire, groupe_sanguin, dynamic_fields JSONB, profile_completed_at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wallets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id, user_id, balance, pending_balance, currency, updated_at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campaigns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advertiser_id, title, media_type, media_url, budget_total, cost_per_view, target_count, status, format_type, starts_at, ends_at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campaign_criteria</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id, campaign_id, criteria_key, criteria_value, criteria_type (RANGE / EXACT / GEO)</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campaign_targets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campaign_id, subscriber_id, status (PENDING/VIEWED/SKIPPED/EXPIRED), viewed_at, credited_at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transactions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id, wallet_id, type (CREDIT/DEBIT/ESCROW/WITHDRAWAL), amount, ref_id, ref_type, status, created_at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withdrawals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wallet_id, amount, method, account_ref, kyc_level, status (PENDING/PROCESSING/DONE/FAILED), processed_at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trust_scores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user_id, score, positive_signals JSONB, negative_signals JSONB, calculated_at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platform_config</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config_key, config_value, updated_by, updated_at</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badges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id, user_id, badge_type, badge_data JSONB, earned_at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referrals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id, referrer_id, referee_id, status, bonus_paid_at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6.  FLUX MÉTIER CRITIQUES</w:t>
            </w:r>
          </w:p>
          <w:p>
            <w:r>
              <w:rPr>
                <w:rFonts w:ascii="Arial" w:cs="Arial" w:eastAsia="Arial" w:hAnsi="Arial"/>
                <w:i/>
                <w:iCs/>
                <w:color w:val="A8C4E0"/>
                <w:sz w:val="20"/>
                <w:szCs w:val="20"/>
              </w:rPr>
              <w:t xml:space="preserve">Séquences d'interactions clés</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6.1 Flux Création &amp; Diffusion d'une Campagne</w:t>
      </w:r>
    </w:p>
    <w:p>
      <w:pPr>
        <w:pStyle w:val="ListParagraph"/>
        <w:numPr>
          <w:ilvl w:val="0"/>
          <w:numId w:val="3"/>
        </w:numPr>
        <w:spacing w:before="40" w:after="40"/>
      </w:pPr>
      <w:r>
        <w:rPr>
          <w:rFonts w:ascii="Arial" w:cs="Arial" w:eastAsia="Arial" w:hAnsi="Arial"/>
          <w:color w:val="1C2B3A"/>
          <w:sz w:val="22"/>
          <w:szCs w:val="22"/>
        </w:rPr>
        <w:t xml:space="preserve">L'annonceur remplit le formulaire : titre, type de média, upload contenu, définition des critères de ciblage.</w:t>
      </w:r>
    </w:p>
    <w:p>
      <w:pPr>
        <w:pStyle w:val="ListParagraph"/>
        <w:numPr>
          <w:ilvl w:val="0"/>
          <w:numId w:val="3"/>
        </w:numPr>
        <w:spacing w:before="40" w:after="40"/>
      </w:pPr>
      <w:r>
        <w:rPr>
          <w:rFonts w:ascii="Arial" w:cs="Arial" w:eastAsia="Arial" w:hAnsi="Arial"/>
          <w:color w:val="1C2B3A"/>
          <w:sz w:val="22"/>
          <w:szCs w:val="22"/>
        </w:rPr>
        <w:t xml:space="preserve">Le système calcule en temps réel : nombre d'abonnés matchant les critères + coût total estimé.</w:t>
      </w:r>
    </w:p>
    <w:p>
      <w:pPr>
        <w:pStyle w:val="ListParagraph"/>
        <w:numPr>
          <w:ilvl w:val="0"/>
          <w:numId w:val="3"/>
        </w:numPr>
        <w:spacing w:before="40" w:after="40"/>
      </w:pPr>
      <w:r>
        <w:rPr>
          <w:rFonts w:ascii="Arial" w:cs="Arial" w:eastAsia="Arial" w:hAnsi="Arial"/>
          <w:color w:val="1C2B3A"/>
          <w:sz w:val="22"/>
          <w:szCs w:val="22"/>
        </w:rPr>
        <w:t xml:space="preserve">L'annonceur valide et procède au paiement (Mobile Money / VISA / PayPal).</w:t>
      </w:r>
    </w:p>
    <w:p>
      <w:pPr>
        <w:pStyle w:val="ListParagraph"/>
        <w:numPr>
          <w:ilvl w:val="0"/>
          <w:numId w:val="3"/>
        </w:numPr>
        <w:spacing w:before="40" w:after="40"/>
      </w:pPr>
      <w:r>
        <w:rPr>
          <w:rFonts w:ascii="Arial" w:cs="Arial" w:eastAsia="Arial" w:hAnsi="Arial"/>
          <w:color w:val="1C2B3A"/>
          <w:sz w:val="22"/>
          <w:szCs w:val="22"/>
        </w:rPr>
        <w:t xml:space="preserve">Le payment-service reçoit la confirmation de l'agrégateur par webhook → le budget est bloqué en escrow.</w:t>
      </w:r>
    </w:p>
    <w:p>
      <w:pPr>
        <w:pStyle w:val="ListParagraph"/>
        <w:numPr>
          <w:ilvl w:val="0"/>
          <w:numId w:val="3"/>
        </w:numPr>
        <w:spacing w:before="40" w:after="40"/>
      </w:pPr>
      <w:r>
        <w:rPr>
          <w:rFonts w:ascii="Arial" w:cs="Arial" w:eastAsia="Arial" w:hAnsi="Arial"/>
          <w:color w:val="1C2B3A"/>
          <w:sz w:val="22"/>
          <w:szCs w:val="22"/>
        </w:rPr>
        <w:t xml:space="preserve">Le campaign-service soumet la campagne à la modération (scan IA + validation humaine, ≤ 2h ouvrables).</w:t>
      </w:r>
    </w:p>
    <w:p>
      <w:pPr>
        <w:pStyle w:val="ListParagraph"/>
        <w:numPr>
          <w:ilvl w:val="0"/>
          <w:numId w:val="3"/>
        </w:numPr>
        <w:spacing w:before="40" w:after="40"/>
      </w:pPr>
      <w:r>
        <w:rPr>
          <w:rFonts w:ascii="Arial" w:cs="Arial" w:eastAsia="Arial" w:hAnsi="Arial"/>
          <w:color w:val="1C2B3A"/>
          <w:sz w:val="22"/>
          <w:szCs w:val="22"/>
        </w:rPr>
        <w:t xml:space="preserve">Après approbation, le targeting-engine sélectionne les abonnés correspondant aux critères.</w:t>
      </w:r>
    </w:p>
    <w:p>
      <w:pPr>
        <w:pStyle w:val="ListParagraph"/>
        <w:numPr>
          <w:ilvl w:val="0"/>
          <w:numId w:val="3"/>
        </w:numPr>
        <w:spacing w:before="40" w:after="40"/>
      </w:pPr>
      <w:r>
        <w:rPr>
          <w:rFonts w:ascii="Arial" w:cs="Arial" w:eastAsia="Arial" w:hAnsi="Arial"/>
          <w:color w:val="1C2B3A"/>
          <w:sz w:val="22"/>
          <w:szCs w:val="22"/>
        </w:rPr>
        <w:t xml:space="preserve">Le delivery-service distribue les pubs : les abonnés ciblés reçoivent une notification push (Smart Timing).</w:t>
      </w:r>
    </w:p>
    <w:p>
      <w:pPr>
        <w:pStyle w:val="ListParagraph"/>
        <w:numPr>
          <w:ilvl w:val="0"/>
          <w:numId w:val="3"/>
        </w:numPr>
        <w:spacing w:before="40" w:after="40"/>
      </w:pPr>
      <w:r>
        <w:rPr>
          <w:rFonts w:ascii="Arial" w:cs="Arial" w:eastAsia="Arial" w:hAnsi="Arial"/>
          <w:color w:val="1C2B3A"/>
          <w:sz w:val="22"/>
          <w:szCs w:val="22"/>
        </w:rPr>
        <w:t xml:space="preserve">L'abonné ouvre la pub → le timer d'engagement démarre côté serveur.</w:t>
      </w:r>
    </w:p>
    <w:p>
      <w:pPr>
        <w:pStyle w:val="ListParagraph"/>
        <w:numPr>
          <w:ilvl w:val="0"/>
          <w:numId w:val="3"/>
        </w:numPr>
        <w:spacing w:before="40" w:after="40"/>
      </w:pPr>
      <w:r>
        <w:rPr>
          <w:rFonts w:ascii="Arial" w:cs="Arial" w:eastAsia="Arial" w:hAnsi="Arial"/>
          <w:color w:val="1C2B3A"/>
          <w:sz w:val="22"/>
          <w:szCs w:val="22"/>
        </w:rPr>
        <w:t xml:space="preserve">À la validation de l'engagement : le wallet-service crédite l'abonné + le trust-service met à jour le Trust Score.</w:t>
      </w:r>
    </w:p>
    <w:p>
      <w:pPr>
        <w:pStyle w:val="ListParagraph"/>
        <w:numPr>
          <w:ilvl w:val="0"/>
          <w:numId w:val="3"/>
        </w:numPr>
        <w:spacing w:before="40" w:after="40"/>
      </w:pPr>
      <w:r>
        <w:rPr>
          <w:rFonts w:ascii="Arial" w:cs="Arial" w:eastAsia="Arial" w:hAnsi="Arial"/>
          <w:color w:val="1C2B3A"/>
          <w:sz w:val="22"/>
          <w:szCs w:val="22"/>
        </w:rPr>
        <w:t xml:space="preserve">À la clôture de la campagne : le reporting-service génère le rapport PDF et l'envoie à l'annonceur.</w:t>
      </w:r>
    </w:p>
    <w:p>
      <w:pPr>
        <w:spacing w:before="100" w:after="0"/>
      </w:pPr>
      <w:r>
        <w:t xml:space="preserve"/>
      </w:r>
    </w:p>
    <w:p>
      <w:pPr>
        <w:pStyle w:val="Heading2"/>
        <w:spacing w:before="280" w:after="100"/>
      </w:pPr>
      <w:r>
        <w:rPr>
          <w:rFonts w:ascii="Arial" w:cs="Arial" w:eastAsia="Arial" w:hAnsi="Arial"/>
          <w:b/>
          <w:bCs/>
          <w:color w:val="1A3C6E"/>
          <w:sz w:val="28"/>
          <w:szCs w:val="28"/>
        </w:rPr>
        <w:t xml:space="preserve">6.2 Flux Retrait Abonné</w:t>
      </w:r>
    </w:p>
    <w:p>
      <w:pPr>
        <w:pStyle w:val="ListParagraph"/>
        <w:numPr>
          <w:ilvl w:val="0"/>
          <w:numId w:val="3"/>
        </w:numPr>
        <w:spacing w:before="40" w:after="40"/>
      </w:pPr>
      <w:r>
        <w:rPr>
          <w:rFonts w:ascii="Arial" w:cs="Arial" w:eastAsia="Arial" w:hAnsi="Arial"/>
          <w:color w:val="1C2B3A"/>
          <w:sz w:val="22"/>
          <w:szCs w:val="22"/>
        </w:rPr>
        <w:t xml:space="preserve">L'abonné soumet une demande de retrait depuis l'app (solde disponible ≥ 5 000 FCFA vérifié).</w:t>
      </w:r>
    </w:p>
    <w:p>
      <w:pPr>
        <w:pStyle w:val="ListParagraph"/>
        <w:numPr>
          <w:ilvl w:val="0"/>
          <w:numId w:val="3"/>
        </w:numPr>
        <w:spacing w:before="40" w:after="40"/>
      </w:pPr>
      <w:r>
        <w:rPr>
          <w:rFonts w:ascii="Arial" w:cs="Arial" w:eastAsia="Arial" w:hAnsi="Arial"/>
          <w:color w:val="1C2B3A"/>
          <w:sz w:val="22"/>
          <w:szCs w:val="22"/>
        </w:rPr>
        <w:t xml:space="preserve">Vérification KYC : niveau requis selon le montant. Si insuffisant → demande de complétion KYC.</w:t>
      </w:r>
    </w:p>
    <w:p>
      <w:pPr>
        <w:pStyle w:val="ListParagraph"/>
        <w:numPr>
          <w:ilvl w:val="0"/>
          <w:numId w:val="3"/>
        </w:numPr>
        <w:spacing w:before="40" w:after="40"/>
      </w:pPr>
      <w:r>
        <w:rPr>
          <w:rFonts w:ascii="Arial" w:cs="Arial" w:eastAsia="Arial" w:hAnsi="Arial"/>
          <w:color w:val="1C2B3A"/>
          <w:sz w:val="22"/>
          <w:szCs w:val="22"/>
        </w:rPr>
        <w:t xml:space="preserve">Le wallet-service déplace le montant de 'balance' vers 'pending_balance'.</w:t>
      </w:r>
    </w:p>
    <w:p>
      <w:pPr>
        <w:pStyle w:val="ListParagraph"/>
        <w:numPr>
          <w:ilvl w:val="0"/>
          <w:numId w:val="3"/>
        </w:numPr>
        <w:spacing w:before="40" w:after="40"/>
      </w:pPr>
      <w:r>
        <w:rPr>
          <w:rFonts w:ascii="Arial" w:cs="Arial" w:eastAsia="Arial" w:hAnsi="Arial"/>
          <w:color w:val="1C2B3A"/>
          <w:sz w:val="22"/>
          <w:szCs w:val="22"/>
        </w:rPr>
        <w:t xml:space="preserve">Le payment-service initie le virement via l'agrégateur (Mobile Money ou VISA).</w:t>
      </w:r>
    </w:p>
    <w:p>
      <w:pPr>
        <w:pStyle w:val="ListParagraph"/>
        <w:numPr>
          <w:ilvl w:val="0"/>
          <w:numId w:val="3"/>
        </w:numPr>
        <w:spacing w:before="40" w:after="40"/>
      </w:pPr>
      <w:r>
        <w:rPr>
          <w:rFonts w:ascii="Arial" w:cs="Arial" w:eastAsia="Arial" w:hAnsi="Arial"/>
          <w:color w:val="1C2B3A"/>
          <w:sz w:val="22"/>
          <w:szCs w:val="22"/>
        </w:rPr>
        <w:t xml:space="preserve">Réception du webhook de confirmation → le wallet-service débite 'pending_balance' et enregistre la transaction.</w:t>
      </w:r>
    </w:p>
    <w:p>
      <w:pPr>
        <w:pStyle w:val="ListParagraph"/>
        <w:numPr>
          <w:ilvl w:val="0"/>
          <w:numId w:val="3"/>
        </w:numPr>
        <w:spacing w:before="40" w:after="40"/>
      </w:pPr>
      <w:r>
        <w:rPr>
          <w:rFonts w:ascii="Arial" w:cs="Arial" w:eastAsia="Arial" w:hAnsi="Arial"/>
          <w:color w:val="1C2B3A"/>
          <w:sz w:val="22"/>
          <w:szCs w:val="22"/>
        </w:rPr>
        <w:t xml:space="preserve">L'abonné reçoit une notification (push + SMS) confirming le versement.</w:t>
      </w:r>
    </w:p>
    <w:p>
      <w:pPr>
        <w:spacing w:before="100" w:after="0"/>
      </w:pPr>
      <w:r>
        <w:t xml:space="preserve"/>
      </w:r>
    </w:p>
    <w:p>
      <w:pPr>
        <w:pStyle w:val="Heading2"/>
        <w:spacing w:before="280" w:after="100"/>
      </w:pPr>
      <w:r>
        <w:rPr>
          <w:rFonts w:ascii="Arial" w:cs="Arial" w:eastAsia="Arial" w:hAnsi="Arial"/>
          <w:b/>
          <w:bCs/>
          <w:color w:val="1A3C6E"/>
          <w:sz w:val="28"/>
          <w:szCs w:val="28"/>
        </w:rPr>
        <w:t xml:space="preserve">6.3 Flux Inscription &amp; Activation Abonné</w:t>
      </w:r>
    </w:p>
    <w:p>
      <w:pPr>
        <w:pStyle w:val="ListParagraph"/>
        <w:numPr>
          <w:ilvl w:val="0"/>
          <w:numId w:val="3"/>
        </w:numPr>
        <w:spacing w:before="40" w:after="40"/>
      </w:pPr>
      <w:r>
        <w:rPr>
          <w:rFonts w:ascii="Arial" w:cs="Arial" w:eastAsia="Arial" w:hAnsi="Arial"/>
          <w:color w:val="1C2B3A"/>
          <w:sz w:val="22"/>
          <w:szCs w:val="22"/>
        </w:rPr>
        <w:t xml:space="preserve">L'abonné télécharge l'app et crée son compte (email ou téléphone + OTP de vérification).</w:t>
      </w:r>
    </w:p>
    <w:p>
      <w:pPr>
        <w:pStyle w:val="ListParagraph"/>
        <w:numPr>
          <w:ilvl w:val="0"/>
          <w:numId w:val="3"/>
        </w:numPr>
        <w:spacing w:before="40" w:after="40"/>
      </w:pPr>
      <w:r>
        <w:rPr>
          <w:rFonts w:ascii="Arial" w:cs="Arial" w:eastAsia="Arial" w:hAnsi="Arial"/>
          <w:color w:val="1C2B3A"/>
          <w:sz w:val="22"/>
          <w:szCs w:val="22"/>
        </w:rPr>
        <w:t xml:space="preserve">Onboarding interactif guidé : 7 étapes avec récompenses progressives.</w:t>
      </w:r>
    </w:p>
    <w:p>
      <w:pPr>
        <w:pStyle w:val="ListParagraph"/>
        <w:numPr>
          <w:ilvl w:val="0"/>
          <w:numId w:val="3"/>
        </w:numPr>
        <w:spacing w:before="40" w:after="40"/>
      </w:pPr>
      <w:r>
        <w:rPr>
          <w:rFonts w:ascii="Arial" w:cs="Arial" w:eastAsia="Arial" w:hAnsi="Arial"/>
          <w:color w:val="1C2B3A"/>
          <w:sz w:val="22"/>
          <w:szCs w:val="22"/>
        </w:rPr>
        <w:t xml:space="preserve">L'abonné remplit son profil complet via le formulaire dynamique.</w:t>
      </w:r>
    </w:p>
    <w:p>
      <w:pPr>
        <w:pStyle w:val="ListParagraph"/>
        <w:numPr>
          <w:ilvl w:val="0"/>
          <w:numId w:val="3"/>
        </w:numPr>
        <w:spacing w:before="40" w:after="40"/>
      </w:pPr>
      <w:r>
        <w:rPr>
          <w:rFonts w:ascii="Arial" w:cs="Arial" w:eastAsia="Arial" w:hAnsi="Arial"/>
          <w:color w:val="1C2B3A"/>
          <w:sz w:val="22"/>
          <w:szCs w:val="22"/>
        </w:rPr>
        <w:t xml:space="preserve">À la complétion à 100% : crédit automatique de 500 FCFA + badge 'Profil Complet' attribué.</w:t>
      </w:r>
    </w:p>
    <w:p>
      <w:pPr>
        <w:pStyle w:val="ListParagraph"/>
        <w:numPr>
          <w:ilvl w:val="0"/>
          <w:numId w:val="3"/>
        </w:numPr>
        <w:spacing w:before="40" w:after="40"/>
      </w:pPr>
      <w:r>
        <w:rPr>
          <w:rFonts w:ascii="Arial" w:cs="Arial" w:eastAsia="Arial" w:hAnsi="Arial"/>
          <w:color w:val="1C2B3A"/>
          <w:sz w:val="22"/>
          <w:szCs w:val="22"/>
        </w:rPr>
        <w:t xml:space="preserve">Première pub disponible affichée → premier crédit déclenché → accroché à l'expérience.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7.  SÉCURITÉ &amp; ANTI-FRAUDE</w:t>
            </w:r>
          </w:p>
          <w:p>
            <w:r>
              <w:rPr>
                <w:rFonts w:ascii="Arial" w:cs="Arial" w:eastAsia="Arial" w:hAnsi="Arial"/>
                <w:i/>
                <w:iCs/>
                <w:color w:val="A8C4E0"/>
                <w:sz w:val="20"/>
                <w:szCs w:val="20"/>
              </w:rPr>
              <w:t xml:space="preserve">Protection de l'intégrité de la plateforme</w:t>
            </w:r>
          </w:p>
        </w:tc>
      </w:tr>
    </w:tbl>
    <w:p>
      <w:pPr>
        <w:spacing w:before="120" w:after="0"/>
      </w:pPr>
      <w:r>
        <w:t xml:space="preserve"/>
      </w:r>
    </w:p>
    <w:p>
      <w:pPr>
        <w:spacing w:before="60" w:after="80"/>
      </w:pPr>
      <w:r>
        <w:rPr>
          <w:rFonts w:ascii="Arial" w:cs="Arial" w:eastAsia="Arial" w:hAnsi="Arial"/>
          <w:color w:val="1C2B3A"/>
          <w:sz w:val="22"/>
          <w:szCs w:val="22"/>
        </w:rPr>
        <w:t xml:space="preserve">La fraude est le risque #1 pour oon.click. L'économie de la plateforme repose sur la légitimité des vues. Un système anti-fraude défaillant entraînerait des pertes financières directes et la perte de confiance des annonceurs.</w:t>
      </w:r>
    </w:p>
    <w:p>
      <w:pPr>
        <w:spacing w:before="100" w:after="0"/>
      </w:pPr>
      <w:r>
        <w:t xml:space="preserve"/>
      </w:r>
    </w:p>
    <w:p>
      <w:pPr>
        <w:pStyle w:val="Heading2"/>
        <w:spacing w:before="280" w:after="100"/>
      </w:pPr>
      <w:r>
        <w:rPr>
          <w:rFonts w:ascii="Arial" w:cs="Arial" w:eastAsia="Arial" w:hAnsi="Arial"/>
          <w:b/>
          <w:bCs/>
          <w:color w:val="1A3C6E"/>
          <w:sz w:val="28"/>
          <w:szCs w:val="28"/>
        </w:rPr>
        <w:t xml:space="preserve">7.1 Mesures Anti-Fraude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Mesure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Détail d'implémentation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Timer côté serveur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La durée d'engagement (30s vidéo/audio, 5s image) est mesurée côté serveur, pas côté client. Toute manipulation côté client est ignorée.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OON Trust Score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Score 0–100 calculé quotidiennement. Score &lt; 40 : accès limité. Score &lt; 20 : suspension automatique + alerte admin.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Device Fingerprinting</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Détection de plusieurs comptes sur le même appareil. Alerte sur ≥ 3 comptes par device.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Rate Limiting par abonné</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Maximum X vues/jour par campagne configurable en admin. Défaut : 1 vue par campagne.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IP Monitoring</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Alerte automatique si &gt; 50 vues validées depuis la même IP en 1h. Blocage temporaire.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Déduplication stricte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Un abonné ne peut pas visionner la même campagne plus d'une fois (index unique campaign_id + subscriber_id).</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Validation engagement active</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Détection d'app en arrière-plan pendant le visionnage → vue invalidée.</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Signalement communautaire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 10% de signalements sur une campagne → suspension automatique + alerte admin.</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7.2 KYC Progressif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Niveau KYC</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Exigences &amp; Limites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Niveau 0 — Aucun</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Compte créé. Aucun retrait possible. Vues et crédits actifs.</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Niveau 1 — Téléphone OTP</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Vérification numéro de téléphone par code OTP. Retrait autorisé jusqu'à 10 000 FCFA/mois.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Niveau 2 — CNI/Passeport</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Upload photo CNI ou Passeport + selfie de vérification. Retrait autorisé jusqu'à 100 000 FCFA/mois.</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Niveau 3 — Complet</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Selfie + document + justificatif d'adresse. Retrait illimité (selon plafonds BCEAO).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8.  ROADMAP &amp; PLAN DE LIVRAISON</w:t>
            </w:r>
          </w:p>
          <w:p>
            <w:r>
              <w:rPr>
                <w:rFonts w:ascii="Arial" w:cs="Arial" w:eastAsia="Arial" w:hAnsi="Arial"/>
                <w:i/>
                <w:iCs/>
                <w:color w:val="A8C4E0"/>
                <w:sz w:val="20"/>
                <w:szCs w:val="20"/>
              </w:rPr>
              <w:t xml:space="preserve">18 semaines · MVP → Lancement Public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200"/>
        <w:gridCol w:w="3400"/>
        <w:gridCol w:w="1760"/>
      </w:tblGrid>
      <w:tr>
        <w:tc>
          <w:tcPr>
            <w:tcW w:type="dxa" w:w="12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8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Durée</w:t>
            </w:r>
          </w:p>
        </w:tc>
        <w:tc>
          <w:tcPr>
            <w:tcW w:type="dxa" w:w="22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Objectif</w:t>
            </w:r>
          </w:p>
        </w:tc>
        <w:tc>
          <w:tcPr>
            <w:tcW w:type="dxa" w:w="34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Livrables Clés</w:t>
            </w:r>
          </w:p>
        </w:tc>
        <w:tc>
          <w:tcPr>
            <w:tcW w:type="dxa" w:w="176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Critère de Succès</w:t>
            </w:r>
          </w:p>
        </w:tc>
      </w:tr>
      <w:tr>
        <w:tc>
          <w:tcPr>
            <w:tcW w:type="dxa" w:w="1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Phase 0
Setup</w:t>
            </w:r>
          </w:p>
        </w:tc>
        <w:tc>
          <w:tcPr>
            <w:tcW w:type="dxa" w:w="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2 sem.</w:t>
            </w:r>
          </w:p>
        </w:tc>
        <w:tc>
          <w:tcPr>
            <w:tcW w:type="dxa" w:w="2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Infrastructure</w:t>
            </w:r>
          </w:p>
        </w:tc>
        <w:tc>
          <w:tcPr>
            <w:tcW w:type="dxa" w:w="3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Repo GitHub, CI/CD, design system, sandbox paiement, env. dev/staging/prod</w:t>
            </w:r>
          </w:p>
        </w:tc>
        <w:tc>
          <w:tcPr>
            <w:tcW w:type="dxa" w:w="17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Environnements opérationnels</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Phase 1
MVP Core</w:t>
            </w:r>
          </w:p>
        </w:tc>
        <w:tc>
          <w:tcPr>
            <w:tcW w:type="dxa" w:w="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S3–S10</w:t>
            </w:r>
          </w:p>
        </w:tc>
        <w:tc>
          <w:tcPr>
            <w:tcW w:type="dxa" w:w="2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Produit fonctionnel</w:t>
            </w:r>
          </w:p>
        </w:tc>
        <w:tc>
          <w:tcPr>
            <w:tcW w:type="dxa" w:w="3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Auth · Profil dynamique · Bonus inscription · 4 types de médias · Matching · Tracking vue · Crédit abonné</w:t>
            </w:r>
          </w:p>
        </w:tc>
        <w:tc>
          <w:tcPr>
            <w:tcW w:type="dxa" w:w="17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Beta fermée 100 abonnés, 10 annonceurs</w:t>
            </w:r>
          </w:p>
        </w:tc>
      </w:tr>
      <w:tr>
        <w:tc>
          <w:tcPr>
            <w:tcW w:type="dxa" w:w="1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Phase 2
Paiements</w:t>
            </w:r>
          </w:p>
        </w:tc>
        <w:tc>
          <w:tcPr>
            <w:tcW w:type="dxa" w:w="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S11–S12</w:t>
            </w:r>
          </w:p>
        </w:tc>
        <w:tc>
          <w:tcPr>
            <w:tcW w:type="dxa" w:w="2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Monétisation</w:t>
            </w:r>
          </w:p>
        </w:tc>
        <w:tc>
          <w:tcPr>
            <w:tcW w:type="dxa" w:w="3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Paiement Mobile Money/VISA/PayPal · Escrow · Retraits · KYC niveau 1 &amp; 2</w:t>
            </w:r>
          </w:p>
        </w:tc>
        <w:tc>
          <w:tcPr>
            <w:tcW w:type="dxa" w:w="17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1ère transaction réelle effectuée</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Phase 3
Engagement</w:t>
            </w:r>
          </w:p>
        </w:tc>
        <w:tc>
          <w:tcPr>
            <w:tcW w:type="dxa" w:w="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S13–S15</w:t>
            </w:r>
          </w:p>
        </w:tc>
        <w:tc>
          <w:tcPr>
            <w:tcW w:type="dxa" w:w="2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Rétention</w:t>
            </w:r>
          </w:p>
        </w:tc>
        <w:tc>
          <w:tcPr>
            <w:tcW w:type="dxa" w:w="3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Gamification · Parrainage · Notifications Smart Push · Formats innovants · Anti-fraude avancé</w:t>
            </w:r>
          </w:p>
        </w:tc>
        <w:tc>
          <w:tcPr>
            <w:tcW w:type="dxa" w:w="17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DAU/MAU &gt; 30%</w:t>
            </w:r>
          </w:p>
        </w:tc>
      </w:tr>
      <w:tr>
        <w:tc>
          <w:tcPr>
            <w:tcW w:type="dxa" w:w="1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Phase 4
Analytics</w:t>
            </w:r>
          </w:p>
        </w:tc>
        <w:tc>
          <w:tcPr>
            <w:tcW w:type="dxa" w:w="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S16–S17</w:t>
            </w:r>
          </w:p>
        </w:tc>
        <w:tc>
          <w:tcPr>
            <w:tcW w:type="dxa" w:w="2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Intelligence</w:t>
            </w:r>
          </w:p>
        </w:tc>
        <w:tc>
          <w:tcPr>
            <w:tcW w:type="dxa" w:w="3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Dashboard BI annonceur · Rapports PDF · A/B test · Lookalike · OON Trust Score</w:t>
            </w:r>
          </w:p>
        </w:tc>
        <w:tc>
          <w:tcPr>
            <w:tcW w:type="dxa" w:w="17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NPS annonceur &gt; 50</w:t>
            </w:r>
          </w:p>
        </w:tc>
      </w:tr>
      <w:tr>
        <w:tc>
          <w:tcPr>
            <w:tcW w:type="dxa" w:w="1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Phase 5
Launch</w:t>
            </w:r>
          </w:p>
        </w:tc>
        <w:tc>
          <w:tcPr>
            <w:tcW w:type="dxa" w:w="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S18</w:t>
            </w:r>
          </w:p>
        </w:tc>
        <w:tc>
          <w:tcPr>
            <w:tcW w:type="dxa" w:w="2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Lancement public</w:t>
            </w:r>
          </w:p>
        </w:tc>
        <w:tc>
          <w:tcPr>
            <w:tcW w:type="dxa" w:w="3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Tests de charge · Audit sécurité · App Store / Play Store · Communication</w:t>
            </w:r>
          </w:p>
        </w:tc>
        <w:tc>
          <w:tcPr>
            <w:tcW w:type="dxa" w:w="17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1 000 abonnés actifs J+30</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8.1 MoSCoW — Priorisation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7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Fonctionnalités</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MUST HAVE</w:t>
            </w:r>
          </w:p>
        </w:tc>
        <w:tc>
          <w:tcPr>
            <w:tcW w:type="dxa" w:w="7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Auth &amp; Profil dynamique · Bonus inscription 500 FCFA · 4 types de médias pub · Matching critères · Tracking vue serveur · Crédit abonné temps réel · Paiement annonceur (Mobile Money) · Retrait abonné · KYC Niveau 1 · Modération contenu · Admin configurateur</w:t>
            </w:r>
          </w:p>
        </w:tc>
      </w:tr>
      <w:tr>
        <w:tc>
          <w:tcPr>
            <w:tcW w:type="dxa" w:w="1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SHOULD HAVE</w:t>
            </w:r>
          </w:p>
        </w:tc>
        <w:tc>
          <w:tcPr>
            <w:tcW w:type="dxa" w:w="7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Gamification (niveaux, streaks, badges) · Parrainage · Notifications Smart Push · A/B Test · Dashboard BI annonceur · Rapport PDF · OON Trust Score · Formats : Audio Ads, Pub Géolocalisée, Sondage</w:t>
            </w:r>
          </w:p>
        </w:tc>
      </w:tr>
      <w:tr>
        <w:tc>
          <w:tcPr>
            <w:tcW w:type="dxa" w:w="1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COULD HAVE</w:t>
            </w:r>
          </w:p>
        </w:tc>
        <w:tc>
          <w:tcPr>
            <w:tcW w:type="dxa" w:w="7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OON Quiz Show · Mission Board · Pub Narrative Épisodes · Audiences Lookalike · App Lite · Mode Hors-Ligne · Onboarding gamifié · Mode Diaspora · Programme Créateurs</w:t>
            </w:r>
          </w:p>
        </w:tc>
      </w:tr>
      <w:tr>
        <w:tc>
          <w:tcPr>
            <w:tcW w:type="dxa" w:w="1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WON'T HAVE (V1)</w:t>
            </w:r>
          </w:p>
        </w:tc>
        <w:tc>
          <w:tcPr>
            <w:tcW w:type="dxa" w:w="7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OON Live · AR Viewer · White-Label · SDK tiers · API programmatique publique · Version USSD · Expansion UEMOA</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8.2 Équipe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Responsabilités principales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Lead Dev Backend (Node.js/NestJS)</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Architecture API, services backend, intégration paiements, sécurité</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Dev Flutter Mobile Senior</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App iOS + Android, mode hors-ligne, notifications, widgets</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Dev React/Next.js Frontend</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Interface Web annonceur, dashboard analytics, admin panel</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Dev Full Stack (Intégrations)</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Modération IA, services tiers (FCM, SendGrid), reporting</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DevOps / Cloud Engineer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Infrastructure Docker/K8s, CI/CD, monitoring, sécurité infra</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Product Designer UI/UX</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Maquettes Figma, design system, UX flows abonné et annonceur</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Product Manager</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Backlog, sprints, coordination, tests d'acceptation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9.  KPIs &amp; MÉTRIQUES DE SUCCÈS</w:t>
            </w:r>
          </w:p>
          <w:p>
            <w:r>
              <w:rPr>
                <w:rFonts w:ascii="Arial" w:cs="Arial" w:eastAsia="Arial" w:hAnsi="Arial"/>
                <w:i/>
                <w:iCs/>
                <w:color w:val="A8C4E0"/>
                <w:sz w:val="20"/>
                <w:szCs w:val="20"/>
              </w:rPr>
              <w:t xml:space="preserve">Mesurer la performance de oon.click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KPI</w:t>
            </w:r>
          </w:p>
        </w:tc>
        <w:tc>
          <w:tcPr>
            <w:tcW w:type="dxa" w:w="32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Définition</w:t>
            </w:r>
          </w:p>
        </w:tc>
        <w:tc>
          <w:tcPr>
            <w:tcW w:type="dxa" w:w="18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Cible M+6</w:t>
            </w:r>
          </w:p>
        </w:tc>
        <w:tc>
          <w:tcPr>
            <w:tcW w:type="dxa" w:w="196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Cible M+12</w:t>
            </w:r>
          </w:p>
        </w:tc>
      </w:tr>
      <w:tr>
        <w:tc>
          <w:tcPr>
            <w:tcW w:type="dxa" w:w="2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Abonnés Actifs (MAU)</w:t>
            </w:r>
          </w:p>
        </w:tc>
        <w:tc>
          <w:tcPr>
            <w:tcW w:type="dxa" w:w="3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Abonnés ayant visionné ≥ 1 pub dans le mois</w:t>
            </w:r>
          </w:p>
        </w:tc>
        <w:tc>
          <w:tcPr>
            <w:tcW w:type="dxa" w:w="1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5 000</w:t>
            </w:r>
          </w:p>
        </w:tc>
        <w:tc>
          <w:tcPr>
            <w:tcW w:type="dxa" w:w="1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50 000</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DAU/MAU Ratio</w:t>
            </w:r>
          </w:p>
        </w:tc>
        <w:tc>
          <w:tcPr>
            <w:tcW w:type="dxa" w:w="3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Engagement quotidien moyen</w:t>
            </w:r>
          </w:p>
        </w:tc>
        <w:tc>
          <w:tcPr>
            <w:tcW w:type="dxa" w:w="1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&gt; 25%</w:t>
            </w:r>
          </w:p>
        </w:tc>
        <w:tc>
          <w:tcPr>
            <w:tcW w:type="dxa" w:w="1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&gt; 35%</w:t>
            </w:r>
          </w:p>
        </w:tc>
      </w:tr>
      <w:tr>
        <w:tc>
          <w:tcPr>
            <w:tcW w:type="dxa" w:w="2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Taux de Complétion Profil</w:t>
            </w:r>
          </w:p>
        </w:tc>
        <w:tc>
          <w:tcPr>
            <w:tcW w:type="dxa" w:w="3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 abonnés avec profil à 100%</w:t>
            </w:r>
          </w:p>
        </w:tc>
        <w:tc>
          <w:tcPr>
            <w:tcW w:type="dxa" w:w="1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&gt; 70%</w:t>
            </w:r>
          </w:p>
        </w:tc>
        <w:tc>
          <w:tcPr>
            <w:tcW w:type="dxa" w:w="1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&gt; 80%</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Campagnes Lancées/mois</w:t>
            </w:r>
          </w:p>
        </w:tc>
        <w:tc>
          <w:tcPr>
            <w:tcW w:type="dxa" w:w="3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Nombre de campagnes actives par mois</w:t>
            </w:r>
          </w:p>
        </w:tc>
        <w:tc>
          <w:tcPr>
            <w:tcW w:type="dxa" w:w="1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50</w:t>
            </w:r>
          </w:p>
        </w:tc>
        <w:tc>
          <w:tcPr>
            <w:tcW w:type="dxa" w:w="1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500</w:t>
            </w:r>
          </w:p>
        </w:tc>
      </w:tr>
      <w:tr>
        <w:tc>
          <w:tcPr>
            <w:tcW w:type="dxa" w:w="2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Taux d'Ouverture Pub</w:t>
            </w:r>
          </w:p>
        </w:tc>
        <w:tc>
          <w:tcPr>
            <w:tcW w:type="dxa" w:w="3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 abonnés ciblés ayant ouvert la pub</w:t>
            </w:r>
          </w:p>
        </w:tc>
        <w:tc>
          <w:tcPr>
            <w:tcW w:type="dxa" w:w="1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&gt; 40%</w:t>
            </w:r>
          </w:p>
        </w:tc>
        <w:tc>
          <w:tcPr>
            <w:tcW w:type="dxa" w:w="1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&gt; 55%</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Fraude Rate</w:t>
            </w:r>
          </w:p>
        </w:tc>
        <w:tc>
          <w:tcPr>
            <w:tcW w:type="dxa" w:w="3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 vues invalidées par l'anti-fraude</w:t>
            </w:r>
          </w:p>
        </w:tc>
        <w:tc>
          <w:tcPr>
            <w:tcW w:type="dxa" w:w="1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&lt; 2%</w:t>
            </w:r>
          </w:p>
        </w:tc>
        <w:tc>
          <w:tcPr>
            <w:tcW w:type="dxa" w:w="1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&lt; 0.5%</w:t>
            </w:r>
          </w:p>
        </w:tc>
      </w:tr>
      <w:tr>
        <w:tc>
          <w:tcPr>
            <w:tcW w:type="dxa" w:w="2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Délai Retrait Moyen</w:t>
            </w:r>
          </w:p>
        </w:tc>
        <w:tc>
          <w:tcPr>
            <w:tcW w:type="dxa" w:w="3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Durée entre demande et paiement effectif</w:t>
            </w:r>
          </w:p>
        </w:tc>
        <w:tc>
          <w:tcPr>
            <w:tcW w:type="dxa" w:w="1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&lt; 24h</w:t>
            </w:r>
          </w:p>
        </w:tc>
        <w:tc>
          <w:tcPr>
            <w:tcW w:type="dxa" w:w="1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&lt; 4h</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NPS Abonné</w:t>
            </w:r>
          </w:p>
        </w:tc>
        <w:tc>
          <w:tcPr>
            <w:tcW w:type="dxa" w:w="3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Net Promoter Score abonnés</w:t>
            </w:r>
          </w:p>
        </w:tc>
        <w:tc>
          <w:tcPr>
            <w:tcW w:type="dxa" w:w="1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&gt; 40</w:t>
            </w:r>
          </w:p>
        </w:tc>
        <w:tc>
          <w:tcPr>
            <w:tcW w:type="dxa" w:w="1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&gt; 60</w:t>
            </w:r>
          </w:p>
        </w:tc>
      </w:tr>
      <w:tr>
        <w:tc>
          <w:tcPr>
            <w:tcW w:type="dxa" w:w="2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NPS Annonceur</w:t>
            </w:r>
          </w:p>
        </w:tc>
        <w:tc>
          <w:tcPr>
            <w:tcW w:type="dxa" w:w="3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Net Promoter Score annonceurs</w:t>
            </w:r>
          </w:p>
        </w:tc>
        <w:tc>
          <w:tcPr>
            <w:tcW w:type="dxa" w:w="1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&gt; 45</w:t>
            </w:r>
          </w:p>
        </w:tc>
        <w:tc>
          <w:tcPr>
            <w:tcW w:type="dxa" w:w="1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&gt; 65</w:t>
            </w:r>
          </w:p>
        </w:tc>
      </w:tr>
      <w:tr>
        <w:tc>
          <w:tcPr>
            <w:tcW w:type="dxa" w:w="24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A3C6E"/>
                <w:sz w:val="18"/>
                <w:szCs w:val="18"/>
              </w:rPr>
              <w:t xml:space="preserve">ARPU Annonceur (mensuel)</w:t>
            </w:r>
          </w:p>
        </w:tc>
        <w:tc>
          <w:tcPr>
            <w:tcW w:type="dxa" w:w="32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Dépense moyenne par annonceur actif/mois</w:t>
            </w:r>
          </w:p>
        </w:tc>
        <w:tc>
          <w:tcPr>
            <w:tcW w:type="dxa" w:w="18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50 000 FCFA</w:t>
            </w:r>
          </w:p>
        </w:tc>
        <w:tc>
          <w:tcPr>
            <w:tcW w:type="dxa" w:w="1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00A878"/>
                <w:sz w:val="18"/>
                <w:szCs w:val="18"/>
              </w:rPr>
              <w:t xml:space="preserve">200 000 FCFA</w:t>
            </w:r>
          </w:p>
        </w:tc>
      </w:tr>
      <w:tr>
        <w:tc>
          <w:tcPr>
            <w:tcW w:type="dxa" w:w="24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A3C6E"/>
                <w:sz w:val="18"/>
                <w:szCs w:val="18"/>
              </w:rPr>
              <w:t xml:space="preserve">Taux de Churn Abonné</w:t>
            </w:r>
          </w:p>
        </w:tc>
        <w:tc>
          <w:tcPr>
            <w:tcW w:type="dxa" w:w="32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 abonnés inactifs après 60 jours</w:t>
            </w:r>
          </w:p>
        </w:tc>
        <w:tc>
          <w:tcPr>
            <w:tcW w:type="dxa" w:w="18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&lt; 20%</w:t>
            </w:r>
          </w:p>
        </w:tc>
        <w:tc>
          <w:tcPr>
            <w:tcW w:type="dxa" w:w="1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00A878"/>
                <w:sz w:val="18"/>
                <w:szCs w:val="18"/>
              </w:rPr>
              <w:t xml:space="preserve">&lt; 12%</w:t>
            </w:r>
          </w:p>
        </w:tc>
      </w:tr>
    </w:tbl>
    <w:p>
      <w:pPr>
        <w:spacing w:before="120" w:after="0"/>
      </w:pPr>
      <w:r>
        <w:t xml:space="preserve"/>
      </w:r>
    </w:p>
    <w:p>
      <w:pPr>
        <w:pStyle w:val="Heading2"/>
        <w:spacing w:before="280" w:after="100"/>
      </w:pPr>
      <w:r>
        <w:rPr>
          <w:rFonts w:ascii="Arial" w:cs="Arial" w:eastAsia="Arial" w:hAnsi="Arial"/>
          <w:b/>
          <w:bCs/>
          <w:color w:val="1A3C6E"/>
          <w:sz w:val="28"/>
          <w:szCs w:val="28"/>
        </w:rPr>
        <w:t xml:space="preserve">9.1 Signaux d'Alerte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5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Seuil d'alerte → Action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Taux de fraude pub</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&gt; 5% de vues invalidées → audit anti-fraude immédiat</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Signalements par campagne</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&gt; 10% → suspension automatique + investigation</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Délai retrait moyen</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&gt; 48h → escalade équipe paiements</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Trust Score moyen</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60 sur l'ensemble de la base → revue des règles anti-fraude</w:t>
            </w:r>
          </w:p>
        </w:tc>
      </w:tr>
      <w:tr>
        <w:tc>
          <w:tcPr>
            <w:tcW w:type="dxa" w:w="28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Taux de désinstallation (D7)</w:t>
            </w:r>
          </w:p>
        </w:tc>
        <w:tc>
          <w:tcPr>
            <w:tcW w:type="dxa" w:w="65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&gt; 30% → revue urgente de l'onboarding</w:t>
            </w:r>
          </w:p>
        </w:tc>
      </w:tr>
      <w:tr>
        <w:tc>
          <w:tcPr>
            <w:tcW w:type="dxa" w:w="28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NPS abonné</w:t>
            </w:r>
          </w:p>
        </w:tc>
        <w:tc>
          <w:tcPr>
            <w:tcW w:type="dxa" w:w="65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&lt; 20 sur 2 mois consécutifs → plan de remédiation produit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10.  RISQUES &amp; MITIGATIONS</w:t>
            </w:r>
          </w:p>
          <w:p>
            <w:r>
              <w:rPr>
                <w:rFonts w:ascii="Arial" w:cs="Arial" w:eastAsia="Arial" w:hAnsi="Arial"/>
                <w:i/>
                <w:iCs/>
                <w:color w:val="A8C4E0"/>
                <w:sz w:val="20"/>
                <w:szCs w:val="20"/>
              </w:rPr>
              <w:t xml:space="preserve">Analyse des risques projet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c>
          <w:tcPr>
            <w:tcW w:type="dxa" w:w="20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Risque</w:t>
            </w:r>
          </w:p>
        </w:tc>
        <w:tc>
          <w:tcPr>
            <w:tcW w:type="dxa" w:w="12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Probabilité</w:t>
            </w:r>
          </w:p>
        </w:tc>
        <w:tc>
          <w:tcPr>
            <w:tcW w:type="dxa" w:w="120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4960"/>
            <w:tcBorders>
              <w:top w:val="single" w:color="D0DCE8" w:sz="1"/>
              <w:left w:val="single" w:color="D0DCE8" w:sz="1"/>
              <w:bottom w:val="single" w:color="D0DCE8" w:sz="1"/>
              <w:right w:val="single" w:color="D0DCE8" w:sz="1"/>
            </w:tcBorders>
            <w:shd w:fill="1A3C6E"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0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Fraude massive sur les vues</w:t>
            </w:r>
          </w:p>
        </w:tc>
        <w:tc>
          <w:tcPr>
            <w:tcW w:type="dxa" w:w="1200"/>
            <w:tcBorders>
              <w:top w:val="single" w:color="D0DCE8" w:sz="1"/>
              <w:left w:val="single" w:color="D0DCE8" w:sz="1"/>
              <w:bottom w:val="single" w:color="D0DCE8" w:sz="1"/>
              <w:right w:val="single" w:color="D0DCE8" w:sz="1"/>
            </w:tcBorders>
            <w:shd w:fill="FFEEEE" w:val="clear"/>
            <w:tcMar>
              <w:top w:type="dxa" w:w="80"/>
              <w:left w:type="dxa" w:w="100"/>
              <w:bottom w:type="dxa" w:w="80"/>
              <w:right w:type="dxa" w:w="100"/>
            </w:tcMar>
          </w:tcPr>
          <w:p>
            <w:r>
              <w:rPr>
                <w:rFonts w:ascii="Arial" w:cs="Arial" w:eastAsia="Arial" w:hAnsi="Arial"/>
                <w:color w:val="CC0000"/>
                <w:sz w:val="18"/>
                <w:szCs w:val="18"/>
              </w:rPr>
              <w:t xml:space="preserve">HAUTE</w:t>
            </w:r>
          </w:p>
        </w:tc>
        <w:tc>
          <w:tcPr>
            <w:tcW w:type="dxa" w:w="1200"/>
            <w:tcBorders>
              <w:top w:val="single" w:color="D0DCE8" w:sz="1"/>
              <w:left w:val="single" w:color="D0DCE8" w:sz="1"/>
              <w:bottom w:val="single" w:color="D0DCE8" w:sz="1"/>
              <w:right w:val="single" w:color="D0DCE8" w:sz="1"/>
            </w:tcBorders>
            <w:shd w:fill="FFDDDD" w:val="clear"/>
            <w:tcMar>
              <w:top w:type="dxa" w:w="80"/>
              <w:left w:type="dxa" w:w="100"/>
              <w:bottom w:type="dxa" w:w="80"/>
              <w:right w:type="dxa" w:w="100"/>
            </w:tcMar>
          </w:tcPr>
          <w:p>
            <w:r>
              <w:rPr>
                <w:rFonts w:ascii="Arial" w:cs="Arial" w:eastAsia="Arial" w:hAnsi="Arial"/>
                <w:color w:val="AA0000"/>
                <w:sz w:val="18"/>
                <w:szCs w:val="18"/>
              </w:rPr>
              <w:t xml:space="preserve">CRITIQUE</w:t>
            </w:r>
          </w:p>
        </w:tc>
        <w:tc>
          <w:tcPr>
            <w:tcW w:type="dxa" w:w="4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Anti-fraude implémenté dès Sprint 3 (pas en V2). Trust Score + device fingerprint + timer serveur.</w:t>
            </w:r>
          </w:p>
        </w:tc>
      </w:tr>
      <w:tr>
        <w:tc>
          <w:tcPr>
            <w:tcW w:type="dxa" w:w="20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Intégration paiement complexe</w:t>
            </w:r>
          </w:p>
        </w:tc>
        <w:tc>
          <w:tcPr>
            <w:tcW w:type="dxa" w:w="1200"/>
            <w:tcBorders>
              <w:top w:val="single" w:color="D0DCE8" w:sz="1"/>
              <w:left w:val="single" w:color="D0DCE8" w:sz="1"/>
              <w:bottom w:val="single" w:color="D0DCE8" w:sz="1"/>
              <w:right w:val="single" w:color="D0DCE8" w:sz="1"/>
            </w:tcBorders>
            <w:shd w:fill="FDF3EC" w:val="clear"/>
            <w:tcMar>
              <w:top w:type="dxa" w:w="80"/>
              <w:left w:type="dxa" w:w="100"/>
              <w:bottom w:type="dxa" w:w="80"/>
              <w:right w:type="dxa" w:w="100"/>
            </w:tcMar>
          </w:tcPr>
          <w:p>
            <w:r>
              <w:rPr>
                <w:rFonts w:ascii="Arial" w:cs="Arial" w:eastAsia="Arial" w:hAnsi="Arial"/>
                <w:color w:val="E07B39"/>
                <w:sz w:val="18"/>
                <w:szCs w:val="18"/>
              </w:rPr>
              <w:t xml:space="preserve">MOYENNE</w:t>
            </w:r>
          </w:p>
        </w:tc>
        <w:tc>
          <w:tcPr>
            <w:tcW w:type="dxa" w:w="1200"/>
            <w:tcBorders>
              <w:top w:val="single" w:color="D0DCE8" w:sz="1"/>
              <w:left w:val="single" w:color="D0DCE8" w:sz="1"/>
              <w:bottom w:val="single" w:color="D0DCE8" w:sz="1"/>
              <w:right w:val="single" w:color="D0DCE8" w:sz="1"/>
            </w:tcBorders>
            <w:shd w:fill="FFF0E0" w:val="clear"/>
            <w:tcMar>
              <w:top w:type="dxa" w:w="80"/>
              <w:left w:type="dxa" w:w="100"/>
              <w:bottom w:type="dxa" w:w="80"/>
              <w:right w:type="dxa" w:w="100"/>
            </w:tcMar>
          </w:tcPr>
          <w:p>
            <w:r>
              <w:rPr>
                <w:rFonts w:ascii="Arial" w:cs="Arial" w:eastAsia="Arial" w:hAnsi="Arial"/>
                <w:color w:val="E07B39"/>
                <w:sz w:val="18"/>
                <w:szCs w:val="18"/>
              </w:rPr>
              <w:t xml:space="preserve">HAUTE</w:t>
            </w:r>
          </w:p>
        </w:tc>
        <w:tc>
          <w:tcPr>
            <w:tcW w:type="dxa" w:w="4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Prototype Paystack en sandbox dès la Phase 0. Ne pas attendre la Phase 2 pour tester.</w:t>
            </w:r>
          </w:p>
        </w:tc>
      </w:tr>
      <w:tr>
        <w:tc>
          <w:tcPr>
            <w:tcW w:type="dxa" w:w="20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Lenteur sur réseau 2G/3G</w:t>
            </w:r>
          </w:p>
        </w:tc>
        <w:tc>
          <w:tcPr>
            <w:tcW w:type="dxa" w:w="1200"/>
            <w:tcBorders>
              <w:top w:val="single" w:color="D0DCE8" w:sz="1"/>
              <w:left w:val="single" w:color="D0DCE8" w:sz="1"/>
              <w:bottom w:val="single" w:color="D0DCE8" w:sz="1"/>
              <w:right w:val="single" w:color="D0DCE8" w:sz="1"/>
            </w:tcBorders>
            <w:shd w:fill="FFEEEE" w:val="clear"/>
            <w:tcMar>
              <w:top w:type="dxa" w:w="80"/>
              <w:left w:type="dxa" w:w="100"/>
              <w:bottom w:type="dxa" w:w="80"/>
              <w:right w:type="dxa" w:w="100"/>
            </w:tcMar>
          </w:tcPr>
          <w:p>
            <w:r>
              <w:rPr>
                <w:rFonts w:ascii="Arial" w:cs="Arial" w:eastAsia="Arial" w:hAnsi="Arial"/>
                <w:color w:val="CC0000"/>
                <w:sz w:val="18"/>
                <w:szCs w:val="18"/>
              </w:rPr>
              <w:t xml:space="preserve">HAUTE</w:t>
            </w:r>
          </w:p>
        </w:tc>
        <w:tc>
          <w:tcPr>
            <w:tcW w:type="dxa" w:w="1200"/>
            <w:tcBorders>
              <w:top w:val="single" w:color="D0DCE8" w:sz="1"/>
              <w:left w:val="single" w:color="D0DCE8" w:sz="1"/>
              <w:bottom w:val="single" w:color="D0DCE8" w:sz="1"/>
              <w:right w:val="single" w:color="D0DCE8" w:sz="1"/>
            </w:tcBorders>
            <w:shd w:fill="FFF0E0" w:val="clear"/>
            <w:tcMar>
              <w:top w:type="dxa" w:w="80"/>
              <w:left w:type="dxa" w:w="100"/>
              <w:bottom w:type="dxa" w:w="80"/>
              <w:right w:type="dxa" w:w="100"/>
            </w:tcMar>
          </w:tcPr>
          <w:p>
            <w:r>
              <w:rPr>
                <w:rFonts w:ascii="Arial" w:cs="Arial" w:eastAsia="Arial" w:hAnsi="Arial"/>
                <w:color w:val="E07B39"/>
                <w:sz w:val="18"/>
                <w:szCs w:val="18"/>
              </w:rPr>
              <w:t xml:space="preserve">HAUTE</w:t>
            </w:r>
          </w:p>
        </w:tc>
        <w:tc>
          <w:tcPr>
            <w:tcW w:type="dxa" w:w="4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Mode offline Flutter + lazy loading médias + CDN Cloudflare + App Lite &lt; 10MB.</w:t>
            </w:r>
          </w:p>
        </w:tc>
      </w:tr>
      <w:tr>
        <w:tc>
          <w:tcPr>
            <w:tcW w:type="dxa" w:w="20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Conformité ARTCI / BCEAO</w:t>
            </w:r>
          </w:p>
        </w:tc>
        <w:tc>
          <w:tcPr>
            <w:tcW w:type="dxa" w:w="1200"/>
            <w:tcBorders>
              <w:top w:val="single" w:color="D0DCE8" w:sz="1"/>
              <w:left w:val="single" w:color="D0DCE8" w:sz="1"/>
              <w:bottom w:val="single" w:color="D0DCE8" w:sz="1"/>
              <w:right w:val="single" w:color="D0DCE8" w:sz="1"/>
            </w:tcBorders>
            <w:shd w:fill="FDF3EC" w:val="clear"/>
            <w:tcMar>
              <w:top w:type="dxa" w:w="80"/>
              <w:left w:type="dxa" w:w="100"/>
              <w:bottom w:type="dxa" w:w="80"/>
              <w:right w:type="dxa" w:w="100"/>
            </w:tcMar>
          </w:tcPr>
          <w:p>
            <w:r>
              <w:rPr>
                <w:rFonts w:ascii="Arial" w:cs="Arial" w:eastAsia="Arial" w:hAnsi="Arial"/>
                <w:color w:val="E07B39"/>
                <w:sz w:val="18"/>
                <w:szCs w:val="18"/>
              </w:rPr>
              <w:t xml:space="preserve">MOYENNE</w:t>
            </w:r>
          </w:p>
        </w:tc>
        <w:tc>
          <w:tcPr>
            <w:tcW w:type="dxa" w:w="1200"/>
            <w:tcBorders>
              <w:top w:val="single" w:color="D0DCE8" w:sz="1"/>
              <w:left w:val="single" w:color="D0DCE8" w:sz="1"/>
              <w:bottom w:val="single" w:color="D0DCE8" w:sz="1"/>
              <w:right w:val="single" w:color="D0DCE8" w:sz="1"/>
            </w:tcBorders>
            <w:shd w:fill="FFDDDD" w:val="clear"/>
            <w:tcMar>
              <w:top w:type="dxa" w:w="80"/>
              <w:left w:type="dxa" w:w="100"/>
              <w:bottom w:type="dxa" w:w="80"/>
              <w:right w:type="dxa" w:w="100"/>
            </w:tcMar>
          </w:tcPr>
          <w:p>
            <w:r>
              <w:rPr>
                <w:rFonts w:ascii="Arial" w:cs="Arial" w:eastAsia="Arial" w:hAnsi="Arial"/>
                <w:color w:val="AA0000"/>
                <w:sz w:val="18"/>
                <w:szCs w:val="18"/>
              </w:rPr>
              <w:t xml:space="preserve">CRITIQUE</w:t>
            </w:r>
          </w:p>
        </w:tc>
        <w:tc>
          <w:tcPr>
            <w:tcW w:type="dxa" w:w="4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Audit juridique dès Phase 0. Consentement RGPD dans l'onboarding. KYC progressif.</w:t>
            </w:r>
          </w:p>
        </w:tc>
      </w:tr>
      <w:tr>
        <w:tc>
          <w:tcPr>
            <w:tcW w:type="dxa" w:w="20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Trésorerie négative (escrow)</w:t>
            </w:r>
          </w:p>
        </w:tc>
        <w:tc>
          <w:tcPr>
            <w:tcW w:type="dxa" w:w="1200"/>
            <w:tcBorders>
              <w:top w:val="single" w:color="D0DCE8" w:sz="1"/>
              <w:left w:val="single" w:color="D0DCE8" w:sz="1"/>
              <w:bottom w:val="single" w:color="D0DCE8" w:sz="1"/>
              <w:right w:val="single" w:color="D0DCE8" w:sz="1"/>
            </w:tcBorders>
            <w:shd w:fill="EEFFEE" w:val="clear"/>
            <w:tcMar>
              <w:top w:type="dxa" w:w="80"/>
              <w:left w:type="dxa" w:w="100"/>
              <w:bottom w:type="dxa" w:w="80"/>
              <w:right w:type="dxa" w:w="100"/>
            </w:tcMar>
          </w:tcPr>
          <w:p>
            <w:r>
              <w:rPr>
                <w:rFonts w:ascii="Arial" w:cs="Arial" w:eastAsia="Arial" w:hAnsi="Arial"/>
                <w:color w:val="006600"/>
                <w:sz w:val="18"/>
                <w:szCs w:val="18"/>
              </w:rPr>
              <w:t xml:space="preserve">FAIBLE</w:t>
            </w:r>
          </w:p>
        </w:tc>
        <w:tc>
          <w:tcPr>
            <w:tcW w:type="dxa" w:w="1200"/>
            <w:tcBorders>
              <w:top w:val="single" w:color="D0DCE8" w:sz="1"/>
              <w:left w:val="single" w:color="D0DCE8" w:sz="1"/>
              <w:bottom w:val="single" w:color="D0DCE8" w:sz="1"/>
              <w:right w:val="single" w:color="D0DCE8" w:sz="1"/>
            </w:tcBorders>
            <w:shd w:fill="FFDDDD" w:val="clear"/>
            <w:tcMar>
              <w:top w:type="dxa" w:w="80"/>
              <w:left w:type="dxa" w:w="100"/>
              <w:bottom w:type="dxa" w:w="80"/>
              <w:right w:type="dxa" w:w="100"/>
            </w:tcMar>
          </w:tcPr>
          <w:p>
            <w:r>
              <w:rPr>
                <w:rFonts w:ascii="Arial" w:cs="Arial" w:eastAsia="Arial" w:hAnsi="Arial"/>
                <w:color w:val="AA0000"/>
                <w:sz w:val="18"/>
                <w:szCs w:val="18"/>
              </w:rPr>
              <w:t xml:space="preserve">CRITIQUE</w:t>
            </w:r>
          </w:p>
        </w:tc>
        <w:tc>
          <w:tcPr>
            <w:tcW w:type="dxa" w:w="4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Paiement annonceur systématiquement AVANT diffusion. Escrow bloqué dès confirmation paiement.</w:t>
            </w:r>
          </w:p>
        </w:tc>
      </w:tr>
      <w:tr>
        <w:tc>
          <w:tcPr>
            <w:tcW w:type="dxa" w:w="20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Adoption annonceurs PME lente</w:t>
            </w:r>
          </w:p>
        </w:tc>
        <w:tc>
          <w:tcPr>
            <w:tcW w:type="dxa" w:w="1200"/>
            <w:tcBorders>
              <w:top w:val="single" w:color="D0DCE8" w:sz="1"/>
              <w:left w:val="single" w:color="D0DCE8" w:sz="1"/>
              <w:bottom w:val="single" w:color="D0DCE8" w:sz="1"/>
              <w:right w:val="single" w:color="D0DCE8" w:sz="1"/>
            </w:tcBorders>
            <w:shd w:fill="FDF3EC" w:val="clear"/>
            <w:tcMar>
              <w:top w:type="dxa" w:w="80"/>
              <w:left w:type="dxa" w:w="100"/>
              <w:bottom w:type="dxa" w:w="80"/>
              <w:right w:type="dxa" w:w="100"/>
            </w:tcMar>
          </w:tcPr>
          <w:p>
            <w:r>
              <w:rPr>
                <w:rFonts w:ascii="Arial" w:cs="Arial" w:eastAsia="Arial" w:hAnsi="Arial"/>
                <w:color w:val="E07B39"/>
                <w:sz w:val="18"/>
                <w:szCs w:val="18"/>
              </w:rPr>
              <w:t xml:space="preserve">MOYENNE</w:t>
            </w:r>
          </w:p>
        </w:tc>
        <w:tc>
          <w:tcPr>
            <w:tcW w:type="dxa" w:w="1200"/>
            <w:tcBorders>
              <w:top w:val="single" w:color="D0DCE8" w:sz="1"/>
              <w:left w:val="single" w:color="D0DCE8" w:sz="1"/>
              <w:bottom w:val="single" w:color="D0DCE8" w:sz="1"/>
              <w:right w:val="single" w:color="D0DCE8" w:sz="1"/>
            </w:tcBorders>
            <w:shd w:fill="FFF0E0" w:val="clear"/>
            <w:tcMar>
              <w:top w:type="dxa" w:w="80"/>
              <w:left w:type="dxa" w:w="100"/>
              <w:bottom w:type="dxa" w:w="80"/>
              <w:right w:type="dxa" w:w="100"/>
            </w:tcMar>
          </w:tcPr>
          <w:p>
            <w:r>
              <w:rPr>
                <w:rFonts w:ascii="Arial" w:cs="Arial" w:eastAsia="Arial" w:hAnsi="Arial"/>
                <w:color w:val="E07B39"/>
                <w:sz w:val="18"/>
                <w:szCs w:val="18"/>
              </w:rPr>
              <w:t xml:space="preserve">HAUTE</w:t>
            </w:r>
          </w:p>
        </w:tc>
        <w:tc>
          <w:tcPr>
            <w:tcW w:type="dxa" w:w="4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OON Express (campagne en 3 min), templates, compte prépayé, prix plancher 5 000 FCFA.</w:t>
            </w:r>
          </w:p>
        </w:tc>
      </w:tr>
      <w:tr>
        <w:tc>
          <w:tcPr>
            <w:tcW w:type="dxa" w:w="200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Rétention abonnés faible</w:t>
            </w:r>
          </w:p>
        </w:tc>
        <w:tc>
          <w:tcPr>
            <w:tcW w:type="dxa" w:w="1200"/>
            <w:tcBorders>
              <w:top w:val="single" w:color="D0DCE8" w:sz="1"/>
              <w:left w:val="single" w:color="D0DCE8" w:sz="1"/>
              <w:bottom w:val="single" w:color="D0DCE8" w:sz="1"/>
              <w:right w:val="single" w:color="D0DCE8" w:sz="1"/>
            </w:tcBorders>
            <w:shd w:fill="FDF3EC" w:val="clear"/>
            <w:tcMar>
              <w:top w:type="dxa" w:w="80"/>
              <w:left w:type="dxa" w:w="100"/>
              <w:bottom w:type="dxa" w:w="80"/>
              <w:right w:type="dxa" w:w="100"/>
            </w:tcMar>
          </w:tcPr>
          <w:p>
            <w:r>
              <w:rPr>
                <w:rFonts w:ascii="Arial" w:cs="Arial" w:eastAsia="Arial" w:hAnsi="Arial"/>
                <w:color w:val="E07B39"/>
                <w:sz w:val="18"/>
                <w:szCs w:val="18"/>
              </w:rPr>
              <w:t xml:space="preserve">MOYENNE</w:t>
            </w:r>
          </w:p>
        </w:tc>
        <w:tc>
          <w:tcPr>
            <w:tcW w:type="dxa" w:w="1200"/>
            <w:tcBorders>
              <w:top w:val="single" w:color="D0DCE8" w:sz="1"/>
              <w:left w:val="single" w:color="D0DCE8" w:sz="1"/>
              <w:bottom w:val="single" w:color="D0DCE8" w:sz="1"/>
              <w:right w:val="single" w:color="D0DCE8" w:sz="1"/>
            </w:tcBorders>
            <w:shd w:fill="FFF0E0" w:val="clear"/>
            <w:tcMar>
              <w:top w:type="dxa" w:w="80"/>
              <w:left w:type="dxa" w:w="100"/>
              <w:bottom w:type="dxa" w:w="80"/>
              <w:right w:type="dxa" w:w="100"/>
            </w:tcMar>
          </w:tcPr>
          <w:p>
            <w:r>
              <w:rPr>
                <w:rFonts w:ascii="Arial" w:cs="Arial" w:eastAsia="Arial" w:hAnsi="Arial"/>
                <w:color w:val="E07B39"/>
                <w:sz w:val="18"/>
                <w:szCs w:val="18"/>
              </w:rPr>
              <w:t xml:space="preserve">HAUTE</w:t>
            </w:r>
          </w:p>
        </w:tc>
        <w:tc>
          <w:tcPr>
            <w:tcW w:type="dxa" w:w="4960"/>
            <w:tcBorders>
              <w:top w:val="single" w:color="D0DCE8" w:sz="1"/>
              <w:left w:val="single" w:color="D0DCE8" w:sz="1"/>
              <w:bottom w:val="single" w:color="D0DCE8" w:sz="1"/>
              <w:right w:val="single" w:color="D0DCE8" w:sz="1"/>
            </w:tcBorders>
            <w:shd w:fill="F5F6FA" w:val="clear"/>
            <w:tcMar>
              <w:top w:type="dxa" w:w="80"/>
              <w:left w:type="dxa" w:w="100"/>
              <w:bottom w:type="dxa" w:w="80"/>
              <w:right w:type="dxa" w:w="100"/>
            </w:tcMar>
          </w:tcPr>
          <w:p>
            <w:r>
              <w:rPr>
                <w:rFonts w:ascii="Arial" w:cs="Arial" w:eastAsia="Arial" w:hAnsi="Arial"/>
                <w:color w:val="1C2B3A"/>
                <w:sz w:val="18"/>
                <w:szCs w:val="18"/>
              </w:rPr>
              <w:t xml:space="preserve">Gamification dès V1, bonus inscription, parrainage, streaks, notifications intelligentes.</w:t>
            </w:r>
          </w:p>
        </w:tc>
      </w:tr>
      <w:tr>
        <w:tc>
          <w:tcPr>
            <w:tcW w:type="dxa" w:w="200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Contenu publicitaire inadapté</w:t>
            </w:r>
          </w:p>
        </w:tc>
        <w:tc>
          <w:tcPr>
            <w:tcW w:type="dxa" w:w="1200"/>
            <w:tcBorders>
              <w:top w:val="single" w:color="D0DCE8" w:sz="1"/>
              <w:left w:val="single" w:color="D0DCE8" w:sz="1"/>
              <w:bottom w:val="single" w:color="D0DCE8" w:sz="1"/>
              <w:right w:val="single" w:color="D0DCE8" w:sz="1"/>
            </w:tcBorders>
            <w:shd w:fill="FDF3EC" w:val="clear"/>
            <w:tcMar>
              <w:top w:type="dxa" w:w="80"/>
              <w:left w:type="dxa" w:w="100"/>
              <w:bottom w:type="dxa" w:w="80"/>
              <w:right w:type="dxa" w:w="100"/>
            </w:tcMar>
          </w:tcPr>
          <w:p>
            <w:r>
              <w:rPr>
                <w:rFonts w:ascii="Arial" w:cs="Arial" w:eastAsia="Arial" w:hAnsi="Arial"/>
                <w:color w:val="E07B39"/>
                <w:sz w:val="18"/>
                <w:szCs w:val="18"/>
              </w:rPr>
              <w:t xml:space="preserve">MOYENNE</w:t>
            </w:r>
          </w:p>
        </w:tc>
        <w:tc>
          <w:tcPr>
            <w:tcW w:type="dxa" w:w="1200"/>
            <w:tcBorders>
              <w:top w:val="single" w:color="D0DCE8" w:sz="1"/>
              <w:left w:val="single" w:color="D0DCE8" w:sz="1"/>
              <w:bottom w:val="single" w:color="D0DCE8" w:sz="1"/>
              <w:right w:val="single" w:color="D0DCE8" w:sz="1"/>
            </w:tcBorders>
            <w:shd w:fill="FFF0E0" w:val="clear"/>
            <w:tcMar>
              <w:top w:type="dxa" w:w="80"/>
              <w:left w:type="dxa" w:w="100"/>
              <w:bottom w:type="dxa" w:w="80"/>
              <w:right w:type="dxa" w:w="100"/>
            </w:tcMar>
          </w:tcPr>
          <w:p>
            <w:r>
              <w:rPr>
                <w:rFonts w:ascii="Arial" w:cs="Arial" w:eastAsia="Arial" w:hAnsi="Arial"/>
                <w:color w:val="E07B39"/>
                <w:sz w:val="18"/>
                <w:szCs w:val="18"/>
              </w:rPr>
              <w:t xml:space="preserve">HAUTE</w:t>
            </w:r>
          </w:p>
        </w:tc>
        <w:tc>
          <w:tcPr>
            <w:tcW w:type="dxa" w:w="4960"/>
            <w:tcBorders>
              <w:top w:val="single" w:color="D0DCE8" w:sz="1"/>
              <w:left w:val="single" w:color="D0DCE8" w:sz="1"/>
              <w:bottom w:val="single" w:color="D0DCE8" w:sz="1"/>
              <w:right w:val="single" w:color="D0DCE8" w:sz="1"/>
            </w:tcBorders>
            <w:shd w:fill="FFFFFF" w:val="clear"/>
            <w:tcMar>
              <w:top w:type="dxa" w:w="80"/>
              <w:left w:type="dxa" w:w="100"/>
              <w:bottom w:type="dxa" w:w="80"/>
              <w:right w:type="dxa" w:w="100"/>
            </w:tcMar>
          </w:tcPr>
          <w:p>
            <w:r>
              <w:rPr>
                <w:rFonts w:ascii="Arial" w:cs="Arial" w:eastAsia="Arial" w:hAnsi="Arial"/>
                <w:color w:val="1C2B3A"/>
                <w:sz w:val="18"/>
                <w:szCs w:val="18"/>
              </w:rPr>
              <w:t xml:space="preserve">Charte publicitaire dès J1, modération IA + humaine, annonceurs vérifiés (RCCM).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160"/>
              <w:left w:type="dxa" w:w="300"/>
              <w:bottom w:type="dxa" w:w="160"/>
              <w:right w:type="dxa" w:w="200"/>
            </w:tcMar>
          </w:tcPr>
          <w:p>
            <w:pPr>
              <w:spacing w:before="0" w:after="60"/>
            </w:pPr>
            <w:r>
              <w:rPr>
                <w:rFonts w:ascii="Arial" w:cs="Arial" w:eastAsia="Arial" w:hAnsi="Arial"/>
                <w:b/>
                <w:bCs/>
                <w:color w:val="FFFFFF"/>
                <w:sz w:val="30"/>
                <w:szCs w:val="30"/>
              </w:rPr>
              <w:t xml:space="preserve">11.  ACTIONS IMMÉDIATES</w:t>
            </w:r>
          </w:p>
          <w:p>
            <w:r>
              <w:rPr>
                <w:rFonts w:ascii="Arial" w:cs="Arial" w:eastAsia="Arial" w:hAnsi="Arial"/>
                <w:i/>
                <w:iCs/>
                <w:color w:val="A8C4E0"/>
                <w:sz w:val="20"/>
                <w:szCs w:val="20"/>
              </w:rPr>
              <w:t xml:space="preserve">Prochaines étapes décisionnelles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
              <w:left w:val="single" w:color="E07B39" w:sz="12"/>
              <w:bottom w:val="single" w:color="E07B39" w:sz="1"/>
              <w:right w:val="single" w:color="E07B39" w:sz="1"/>
            </w:tcBorders>
            <w:shd w:fill="FDF3EC" w:val="clear"/>
            <w:tcMar>
              <w:top w:type="dxa" w:w="100"/>
              <w:left w:type="dxa" w:w="200"/>
              <w:bottom w:type="dxa" w:w="100"/>
              <w:right w:type="dxa" w:w="200"/>
            </w:tcMar>
          </w:tcPr>
          <w:p>
            <w:r>
              <w:rPr>
                <w:rFonts w:ascii="Arial" w:cs="Arial" w:eastAsia="Arial" w:hAnsi="Arial"/>
                <w:i/>
                <w:iCs/>
                <w:color w:val="1C2B3A"/>
                <w:sz w:val="22"/>
                <w:szCs w:val="22"/>
              </w:rPr>
              <w:t xml:space="preserve">Ces actions doivent être réalisées AVANT le démarrage du développement. Elles conditionneront la réussite du projet.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Action Prioritaire</w:t>
            </w:r>
          </w:p>
        </w:tc>
        <w:tc>
          <w:tcPr>
            <w:tcW w:type="dxa" w:w="6160"/>
            <w:tcBorders>
              <w:top w:val="single" w:color="D0DCE8" w:sz="1"/>
              <w:left w:val="single" w:color="D0DCE8" w:sz="1"/>
              <w:bottom w:val="single" w:color="D0DCE8" w:sz="1"/>
              <w:right w:val="single" w:color="D0DCE8"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Détail &amp; Responsable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Définir la répartition des 100 FCFA</w:t>
            </w:r>
          </w:p>
        </w:tc>
        <w:tc>
          <w:tcPr>
            <w:tcW w:type="dxa" w:w="61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Combien revient à l'abonné vs marge plateforme ? Cette décision conditionne toute la logique wallet. → Décision Fondateurs</w:t>
            </w:r>
          </w:p>
        </w:tc>
      </w:tr>
      <w:tr>
        <w:tc>
          <w:tcPr>
            <w:tcW w:type="dxa" w:w="32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Ouvrir un compte sandbox Paystack</w:t>
            </w:r>
          </w:p>
        </w:tc>
        <w:tc>
          <w:tcPr>
            <w:tcW w:type="dxa" w:w="6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Tester l'intégration Mobile Money en environnement de test avant de coder. → Lead Dev Backend</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Créer les maquettes Figma</w:t>
            </w:r>
          </w:p>
        </w:tc>
        <w:tc>
          <w:tcPr>
            <w:tcW w:type="dxa" w:w="61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3 flows minimum : inscription abonné, création campagne annonceur, visionnage pub. → UI/UX Designer</w:t>
            </w:r>
          </w:p>
        </w:tc>
      </w:tr>
      <w:tr>
        <w:tc>
          <w:tcPr>
            <w:tcW w:type="dxa" w:w="32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Audit juridique ARTCI / BCEAO</w:t>
            </w:r>
          </w:p>
        </w:tc>
        <w:tc>
          <w:tcPr>
            <w:tcW w:type="dxa" w:w="6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Validation de la conformité du modèle économique et des flux financiers. → Juriste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Réserver le domaine oon.click</w:t>
            </w:r>
          </w:p>
        </w:tc>
        <w:tc>
          <w:tcPr>
            <w:tcW w:type="dxa" w:w="61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Vérifier la disponibilité et enregistrer le domaine. → Direction</w:t>
            </w:r>
          </w:p>
        </w:tc>
      </w:tr>
      <w:tr>
        <w:tc>
          <w:tcPr>
            <w:tcW w:type="dxa" w:w="32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Finaliser la grille de ciblage</w:t>
            </w:r>
          </w:p>
        </w:tc>
        <w:tc>
          <w:tcPr>
            <w:tcW w:type="dxa" w:w="6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Quels critères exactement ? Quelles valeurs possibles ? Configurer la base de données. → Product Manager</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A3C6E"/>
                <w:sz w:val="20"/>
                <w:szCs w:val="20"/>
              </w:rPr>
              <w:t xml:space="preserve">Constituer l'équipe core</w:t>
            </w:r>
          </w:p>
        </w:tc>
        <w:tc>
          <w:tcPr>
            <w:tcW w:type="dxa" w:w="6160"/>
            <w:tcBorders>
              <w:top w:val="single" w:color="D0DCE8" w:sz="1"/>
              <w:left w:val="single" w:color="D0DCE8" w:sz="1"/>
              <w:bottom w:val="single" w:color="D0DCE8" w:sz="1"/>
              <w:right w:val="single" w:color="D0DCE8" w:sz="1"/>
            </w:tcBorders>
            <w:shd w:fill="F5F6FA" w:val="clear"/>
            <w:tcMar>
              <w:top w:type="dxa" w:w="80"/>
              <w:left w:type="dxa" w:w="120"/>
              <w:bottom w:type="dxa" w:w="80"/>
              <w:right w:type="dxa" w:w="120"/>
            </w:tcMar>
          </w:tcPr>
          <w:p>
            <w:r>
              <w:rPr>
                <w:rFonts w:ascii="Arial" w:cs="Arial" w:eastAsia="Arial" w:hAnsi="Arial"/>
                <w:color w:val="1C2B3A"/>
                <w:sz w:val="20"/>
                <w:szCs w:val="20"/>
              </w:rPr>
              <w:t xml:space="preserve">Recruter ou mobiliser : Lead Backend + Flutter Dev + Product Designer. → Direction</w:t>
            </w:r>
          </w:p>
        </w:tc>
      </w:tr>
      <w:tr>
        <w:tc>
          <w:tcPr>
            <w:tcW w:type="dxa" w:w="3200"/>
            <w:tcBorders>
              <w:top w:val="single" w:color="D0DCE8" w:sz="1"/>
              <w:left w:val="single" w:color="D0DCE8" w:sz="1"/>
              <w:bottom w:val="single" w:color="D0DCE8" w:sz="1"/>
              <w:right w:val="single" w:color="D0DCE8" w:sz="1"/>
            </w:tcBorders>
            <w:shd w:fill="EBF2FA" w:val="clear"/>
            <w:tcMar>
              <w:top w:type="dxa" w:w="80"/>
              <w:left w:type="dxa" w:w="120"/>
              <w:bottom w:type="dxa" w:w="80"/>
              <w:right w:type="dxa" w:w="120"/>
            </w:tcMar>
          </w:tcPr>
          <w:p>
            <w:r>
              <w:rPr>
                <w:rFonts w:ascii="Arial" w:cs="Arial" w:eastAsia="Arial" w:hAnsi="Arial"/>
                <w:color w:val="1A3C6E"/>
                <w:sz w:val="20"/>
                <w:szCs w:val="20"/>
              </w:rPr>
              <w:t xml:space="preserve">Définir la politique anti-fraude V1</w:t>
            </w:r>
          </w:p>
        </w:tc>
        <w:tc>
          <w:tcPr>
            <w:tcW w:type="dxa" w:w="6160"/>
            <w:tcBorders>
              <w:top w:val="single" w:color="D0DCE8" w:sz="1"/>
              <w:left w:val="single" w:color="D0DCE8" w:sz="1"/>
              <w:bottom w:val="single" w:color="D0DCE8" w:sz="1"/>
              <w:right w:val="single" w:color="D0DCE8" w:sz="1"/>
            </w:tcBorders>
            <w:shd w:fill="FFFFFF" w:val="clear"/>
            <w:tcMar>
              <w:top w:type="dxa" w:w="80"/>
              <w:left w:type="dxa" w:w="120"/>
              <w:bottom w:type="dxa" w:w="80"/>
              <w:right w:type="dxa" w:w="120"/>
            </w:tcMar>
          </w:tcPr>
          <w:p>
            <w:r>
              <w:rPr>
                <w:rFonts w:ascii="Arial" w:cs="Arial" w:eastAsia="Arial" w:hAnsi="Arial"/>
                <w:color w:val="1C2B3A"/>
                <w:sz w:val="20"/>
                <w:szCs w:val="20"/>
              </w:rPr>
              <w:t xml:space="preserve">Paramètres Trust Score, seuils de suspension, règles de détection. → Product Manager + Lead Dev</w:t>
            </w:r>
          </w:p>
        </w:tc>
      </w:tr>
    </w:tbl>
    <w:p>
      <w:pPr>
        <w:spacing w:before="200" w:after="0"/>
      </w:pPr>
      <w:r>
        <w:t xml:space="preserve"/>
      </w:r>
    </w:p>
    <w:p>
      <w:pPr>
        <w:pBdr>
          <w:bottom w:val="single" w:color="00A878" w:sz="4" w:space="1"/>
        </w:pBdr>
        <w:spacing w:before="60" w:after="60"/>
      </w:pPr>
      <w:r>
        <w:t xml:space="preserve"/>
      </w:r>
    </w:p>
    <w:p>
      <w:pPr>
        <w:spacing w:before="60" w:after="0"/>
      </w:pPr>
      <w:r>
        <w:t xml:space="preserve"/>
      </w:r>
    </w:p>
    <w:p>
      <w:pPr>
        <w:jc w:val="center"/>
      </w:pPr>
      <w:r>
        <w:rPr>
          <w:rFonts w:ascii="Arial" w:cs="Arial" w:eastAsia="Arial" w:hAnsi="Arial"/>
          <w:b/>
          <w:bCs/>
          <w:color w:val="1A3C6E"/>
          <w:sz w:val="20"/>
          <w:szCs w:val="20"/>
        </w:rPr>
        <w:t xml:space="preserve">oon.click · PRD Officiel v1.0 · Mars 2026</w:t>
      </w:r>
    </w:p>
    <w:p>
      <w:pPr>
        <w:jc w:val="center"/>
      </w:pPr>
      <w:r>
        <w:rPr>
          <w:rFonts w:ascii="Arial" w:cs="Arial" w:eastAsia="Arial" w:hAnsi="Arial"/>
          <w:i/>
          <w:iCs/>
          <w:color w:val="6B7A8D"/>
          <w:sz w:val="18"/>
          <w:szCs w:val="18"/>
        </w:rPr>
        <w:t xml:space="preserve">Document confidentiel · GS2E / ERANOVE Group · Direction DDI</w:t>
      </w:r>
    </w:p>
    <w:p>
      <w:pPr>
        <w:spacing w:before="60" w:after="0"/>
        <w:jc w:val="center"/>
      </w:pPr>
      <w:r>
        <w:rPr>
          <w:rFonts w:ascii="Arial" w:cs="Arial" w:eastAsia="Arial" w:hAnsi="Arial"/>
          <w:i/>
          <w:iCs/>
          <w:color w:val="6B7A8D"/>
          <w:sz w:val="16"/>
          <w:szCs w:val="16"/>
        </w:rPr>
        <w:t xml:space="preserve">Produit avec la méthode BMAD — Breakthrough Method of Agile AI-Driven Development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1"/>
      </w:pBdr>
      <w:tabs>
        <w:tab w:val="right" w:pos="9026"/>
      </w:tabs>
      <w:spacing w:before="80" w:after="0"/>
    </w:pPr>
    <w:r>
      <w:rPr>
        <w:rFonts w:ascii="Arial" w:cs="Arial" w:eastAsia="Arial" w:hAnsi="Arial"/>
        <w:color w:val="6B7A8D"/>
        <w:sz w:val="16"/>
        <w:szCs w:val="16"/>
      </w:rPr>
      <w:t xml:space="preserve">GS2E / ERANOVE Group — Document confidentiel et propriétaire</w:t>
    </w:r>
    <w:r>
      <w:rPr>
        <w:rFonts w:ascii="Arial" w:cs="Arial" w:eastAsia="Arial" w:hAnsi="Arial"/>
        <w:color w:val="6B7A8D"/>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78" w:sz="6" w:space="1"/>
      </w:pBdr>
      <w:tabs>
        <w:tab w:val="right" w:pos="9026"/>
      </w:tabs>
      <w:spacing w:before="0" w:after="100"/>
    </w:pPr>
    <w:r>
      <w:rPr>
        <w:rFonts w:ascii="Arial" w:cs="Arial" w:eastAsia="Arial" w:hAnsi="Arial"/>
        <w:b/>
        <w:bCs/>
        <w:color w:val="1A3C6E"/>
        <w:sz w:val="18"/>
        <w:szCs w:val="18"/>
      </w:rPr>
      <w:t xml:space="preserve">oon.click · PRD Officiel v1.0</w:t>
    </w:r>
    <w:r>
      <w:rPr>
        <w:rFonts w:ascii="Arial" w:cs="Arial" w:eastAsia="Arial" w:hAnsi="Arial"/>
        <w:sz w:val="18"/>
        <w:szCs w:val="18"/>
      </w:rPr>
      <w:t xml:space="preserve">	</w:t>
    </w:r>
    <w:r>
      <w:rPr>
        <w:rFonts w:ascii="Arial" w:cs="Arial" w:eastAsia="Arial" w:hAnsi="Arial"/>
        <w:b/>
        <w:bCs/>
        <w:color w:val="E07B39"/>
        <w:sz w:val="18"/>
        <w:szCs w:val="18"/>
      </w:rPr>
      <w:t xml:space="preserve">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0A8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2026-03-15T16:00:35.117Z</dcterms:created>
  <dcterms:modified xsi:type="dcterms:W3CDTF">2026-03-15T16:00:35.119Z</dcterms:modified>
</cp:coreProperties>
</file>

<file path=docProps/custom.xml><?xml version="1.0" encoding="utf-8"?>
<Properties xmlns="http://schemas.openxmlformats.org/officeDocument/2006/custom-properties" xmlns:vt="http://schemas.openxmlformats.org/officeDocument/2006/docPropsVTypes"/>
</file>