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rFonts w:ascii="Calibri" w:cs="Calibri" w:eastAsia="Calibri" w:hAnsi="Calibri"/>
          <w:b/>
          <w:bCs/>
          <w:color w:val="D97706"/>
          <w:sz w:val="28"/>
          <w:szCs w:val="28"/>
        </w:rPr>
        <w:t xml:space="preserve">OVERNETFLOW</w:t>
      </w:r>
    </w:p>
    <w:p>
      <w:pPr>
        <w:spacing w:before="380"/>
        <w:jc w:val="center"/>
      </w:pPr>
      <w:r>
        <w:rPr>
          <w:rFonts w:ascii="Calibri" w:cs="Calibri" w:eastAsia="Calibri" w:hAnsi="Calibri"/>
          <w:b/>
          <w:bCs/>
          <w:color w:val="0B2545"/>
          <w:sz w:val="68"/>
          <w:szCs w:val="68"/>
        </w:rPr>
        <w:t xml:space="preserve">PREUVE</w:t>
      </w:r>
    </w:p>
    <w:p>
      <w:pPr>
        <w:spacing w:before="90"/>
        <w:jc w:val="center"/>
      </w:pPr>
      <w:r>
        <w:rPr>
          <w:rFonts w:ascii="Calibri" w:cs="Calibri" w:eastAsia="Calibri" w:hAnsi="Calibri"/>
          <w:color w:val="555555"/>
          <w:sz w:val="26"/>
          <w:szCs w:val="26"/>
        </w:rPr>
        <w:t xml:space="preserve">Registre déclaratif de propriété et de statut des biens</w:t>
      </w:r>
    </w:p>
    <w:p>
      <w:pPr>
        <w:spacing w:before="800"/>
        <w:jc w:val="center"/>
      </w:pPr>
      <w:r>
        <w:rPr>
          <w:rFonts w:ascii="Calibri" w:cs="Calibri" w:eastAsia="Calibri" w:hAnsi="Calibri"/>
          <w:b/>
          <w:bCs/>
          <w:color w:val="0B2545"/>
          <w:sz w:val="30"/>
          <w:szCs w:val="30"/>
        </w:rPr>
        <w:t xml:space="preserve">PRODUCT REQUIREMENTS DOCUMENT (PRD)</w:t>
      </w:r>
    </w:p>
    <w:p>
      <w:pPr>
        <w:spacing w:before="160"/>
        <w:jc w:val="center"/>
      </w:pPr>
      <w:r>
        <w:rPr>
          <w:rFonts w:ascii="Calibri" w:cs="Calibri" w:eastAsia="Calibri" w:hAnsi="Calibri"/>
          <w:color w:val="555555"/>
          <w:sz w:val="22"/>
          <w:szCs w:val="22"/>
        </w:rPr>
        <w:t xml:space="preserve">Version 1.0 — Juillet 2026 · Méthodologie BMAD</w:t>
      </w:r>
    </w:p>
    <w:p>
      <w:pPr>
        <w:spacing w:before="50"/>
        <w:jc w:val="center"/>
      </w:pPr>
      <w:r>
        <w:rPr>
          <w:rFonts w:ascii="Calibri" w:cs="Calibri" w:eastAsia="Calibri" w:hAnsi="Calibri"/>
          <w:i/>
          <w:iCs/>
          <w:color w:val="555555"/>
          <w:sz w:val="18"/>
          <w:szCs w:val="18"/>
        </w:rPr>
        <w:t xml:space="preserve">Document confidentiel — OVERNETFLOW / Abidjan, Côte d'Ivoire</w:t>
      </w:r>
    </w:p>
    <w:p>
      <w:r>
        <w:br w:type="page"/>
      </w:r>
    </w:p>
    <w:p>
      <w:pPr>
        <w:pStyle w:val="Heading1"/>
        <w:spacing w:after="180" w:before="360"/>
      </w:pPr>
      <w:r>
        <w:rPr>
          <w:rFonts w:ascii="Calibri" w:cs="Calibri" w:eastAsia="Calibri" w:hAnsi="Calibri"/>
          <w:b/>
          <w:bCs/>
          <w:color w:val="0B2545"/>
          <w:sz w:val="32"/>
          <w:szCs w:val="32"/>
        </w:rPr>
        <w:t xml:space="preserve">1. Introduction</w:t>
      </w:r>
    </w:p>
    <w:p>
      <w:pPr>
        <w:pStyle w:val="Heading2"/>
        <w:spacing w:after="140" w:before="280"/>
      </w:pPr>
      <w:r>
        <w:rPr>
          <w:rFonts w:ascii="Calibri" w:cs="Calibri" w:eastAsia="Calibri" w:hAnsi="Calibri"/>
          <w:b/>
          <w:bCs/>
          <w:color w:val="D97706"/>
          <w:sz w:val="26"/>
          <w:szCs w:val="26"/>
        </w:rPr>
        <w:t xml:space="preserve">1.1 Objet du document</w:t>
      </w:r>
    </w:p>
    <w:p>
      <w:pPr>
        <w:spacing w:after="130" w:line="270"/>
        <w:jc w:val="both"/>
      </w:pPr>
      <w:r>
        <w:rPr>
          <w:rFonts w:ascii="Calibri" w:cs="Calibri" w:eastAsia="Calibri" w:hAnsi="Calibri"/>
          <w:b w:val="false"/>
          <w:bCs w:val="false"/>
          <w:i w:val="false"/>
          <w:iCs w:val="false"/>
          <w:color w:val="1A1A1A"/>
          <w:sz w:val="22"/>
          <w:szCs w:val="22"/>
        </w:rPr>
        <w:t xml:space="preserve">Ce PRD spécifie de manière détaillée le produit Preuve pour son MVP, en prolongement du Project Brief v1.0. Il définit les workflows complets, la matrice des statuts, les règles métier (scoring de confiance, grille d'arbitrage), les exigences fonctionnelles par epic avec critères d'acceptation, le modèle de données, la surface API et les exigences non fonctionnelles. Il sert de référence unique pour le backlog Excel et le développement.</w:t>
      </w:r>
    </w:p>
    <w:p>
      <w:pPr>
        <w:pStyle w:val="Heading2"/>
        <w:spacing w:after="140" w:before="280"/>
      </w:pPr>
      <w:r>
        <w:rPr>
          <w:rFonts w:ascii="Calibri" w:cs="Calibri" w:eastAsia="Calibri" w:hAnsi="Calibri"/>
          <w:b/>
          <w:bCs/>
          <w:color w:val="D97706"/>
          <w:sz w:val="26"/>
          <w:szCs w:val="26"/>
        </w:rPr>
        <w:t xml:space="preserve">1.2 Vision produit</w:t>
      </w:r>
    </w:p>
    <w:p>
      <w:pPr>
        <w:spacing w:after="130" w:line="270"/>
        <w:jc w:val="both"/>
      </w:pPr>
      <w:r>
        <w:rPr>
          <w:rFonts w:ascii="Calibri" w:cs="Calibri" w:eastAsia="Calibri" w:hAnsi="Calibri"/>
          <w:b w:val="false"/>
          <w:bCs w:val="false"/>
          <w:i w:val="false"/>
          <w:iCs w:val="false"/>
          <w:color w:val="1A1A1A"/>
          <w:sz w:val="22"/>
          <w:szCs w:val="22"/>
        </w:rPr>
        <w:t xml:space="preserve">« Avant d'acheter, vérifie. » Preuve installe un réflexe de marché en Côte d'Ivoire : tout bien identifiable (véhicule, moto, téléphone, puis foncier) peut être enregistré par son détenteur et consulté par tout acheteur en 2 clics, sans compte. La plateforme ne délivre pas de titre de propriété : elle fournit une présomption d'antériorité déclarative graduée en fiabilité, et gèle publiquement les biens en litige — cassant ainsi la liquidité des biens volés ou double-vendus.</w:t>
      </w:r>
    </w:p>
    <w:p>
      <w:pPr>
        <w:pStyle w:val="Heading2"/>
        <w:spacing w:after="140" w:before="280"/>
      </w:pPr>
      <w:r>
        <w:rPr>
          <w:rFonts w:ascii="Calibri" w:cs="Calibri" w:eastAsia="Calibri" w:hAnsi="Calibri"/>
          <w:b/>
          <w:bCs/>
          <w:color w:val="D97706"/>
          <w:sz w:val="26"/>
          <w:szCs w:val="26"/>
        </w:rPr>
        <w:t xml:space="preserve">1.3 Exigences produit transverses (critères d'acceptation globaux)</w:t>
      </w:r>
    </w:p>
    <w:p>
      <w:pPr>
        <w:spacing w:after="130" w:line="270"/>
        <w:jc w:val="both"/>
      </w:pPr>
      <w:r>
        <w:rPr>
          <w:rFonts w:ascii="Calibri" w:cs="Calibri" w:eastAsia="Calibri" w:hAnsi="Calibri"/>
          <w:b/>
          <w:bCs/>
          <w:i w:val="false"/>
          <w:iCs w:val="false"/>
          <w:color w:val="1A1A1A"/>
          <w:sz w:val="22"/>
          <w:szCs w:val="22"/>
        </w:rPr>
        <w:t xml:space="preserve">Ces exigences s'appliquent à toutes les stories comme critères d'acceptation transverses :</w:t>
      </w:r>
    </w:p>
    <w:p>
      <w:pPr>
        <w:pStyle w:val="ListParagraph"/>
        <w:numPr>
          <w:ilvl w:val="0"/>
          <w:numId w:val="2"/>
        </w:numPr>
        <w:spacing w:after="90" w:line="260"/>
      </w:pPr>
      <w:r>
        <w:rPr>
          <w:rFonts w:ascii="Calibri" w:cs="Calibri" w:eastAsia="Calibri" w:hAnsi="Calibri"/>
          <w:b w:val="false"/>
          <w:bCs w:val="false"/>
          <w:sz w:val="22"/>
          <w:szCs w:val="22"/>
        </w:rPr>
        <w:t xml:space="preserve">CT-01 — Consultation en 2 interactions maximum (saisie/scan → résultat), sans création de compte.</w:t>
      </w:r>
    </w:p>
    <w:p>
      <w:pPr>
        <w:pStyle w:val="ListParagraph"/>
        <w:numPr>
          <w:ilvl w:val="0"/>
          <w:numId w:val="2"/>
        </w:numPr>
        <w:spacing w:after="90" w:line="260"/>
      </w:pPr>
      <w:r>
        <w:rPr>
          <w:rFonts w:ascii="Calibri" w:cs="Calibri" w:eastAsia="Calibri" w:hAnsi="Calibri"/>
          <w:b w:val="false"/>
          <w:bCs w:val="false"/>
          <w:sz w:val="22"/>
          <w:szCs w:val="22"/>
        </w:rPr>
        <w:t xml:space="preserve">CT-02 — Enregistrement express d'un bien en moins de 90 secondes au temps médian (niveau 1).</w:t>
      </w:r>
    </w:p>
    <w:p>
      <w:pPr>
        <w:pStyle w:val="ListParagraph"/>
        <w:numPr>
          <w:ilvl w:val="0"/>
          <w:numId w:val="2"/>
        </w:numPr>
        <w:spacing w:after="90" w:line="260"/>
      </w:pPr>
      <w:r>
        <w:rPr>
          <w:rFonts w:ascii="Calibri" w:cs="Calibri" w:eastAsia="Calibri" w:hAnsi="Calibri"/>
          <w:b w:val="false"/>
          <w:bCs w:val="false"/>
          <w:sz w:val="22"/>
          <w:szCs w:val="22"/>
        </w:rPr>
        <w:t xml:space="preserve">CT-03 — Aucun champ obligatoire qui puisse être obtenu par scan/OCR ou différé sans perte de valeur.</w:t>
      </w:r>
    </w:p>
    <w:p>
      <w:pPr>
        <w:pStyle w:val="ListParagraph"/>
        <w:numPr>
          <w:ilvl w:val="0"/>
          <w:numId w:val="2"/>
        </w:numPr>
        <w:spacing w:after="90" w:line="260"/>
      </w:pPr>
      <w:r>
        <w:rPr>
          <w:rFonts w:ascii="Calibri" w:cs="Calibri" w:eastAsia="Calibri" w:hAnsi="Calibri"/>
          <w:b w:val="false"/>
          <w:bCs w:val="false"/>
          <w:sz w:val="22"/>
          <w:szCs w:val="22"/>
        </w:rPr>
        <w:t xml:space="preserve">CT-04 — Tout statut affiché en langage courant avec code couleur univoque, jamais de jargon technique.</w:t>
      </w:r>
    </w:p>
    <w:p>
      <w:pPr>
        <w:pStyle w:val="ListParagraph"/>
        <w:numPr>
          <w:ilvl w:val="0"/>
          <w:numId w:val="2"/>
        </w:numPr>
        <w:spacing w:after="90" w:line="260"/>
      </w:pPr>
      <w:r>
        <w:rPr>
          <w:rFonts w:ascii="Calibri" w:cs="Calibri" w:eastAsia="Calibri" w:hAnsi="Calibri"/>
          <w:b w:val="false"/>
          <w:bCs w:val="false"/>
          <w:sz w:val="22"/>
          <w:szCs w:val="22"/>
        </w:rPr>
        <w:t xml:space="preserve">CT-05 — Écrans utilisables en 3G ; uploads photos/justificatifs en file différée avec reprise.</w:t>
      </w:r>
    </w:p>
    <w:p>
      <w:pPr>
        <w:pStyle w:val="ListParagraph"/>
        <w:numPr>
          <w:ilvl w:val="0"/>
          <w:numId w:val="2"/>
        </w:numPr>
        <w:spacing w:after="90" w:line="260"/>
      </w:pPr>
      <w:r>
        <w:rPr>
          <w:rFonts w:ascii="Calibri" w:cs="Calibri" w:eastAsia="Calibri" w:hAnsi="Calibri"/>
          <w:b w:val="false"/>
          <w:bCs w:val="false"/>
          <w:sz w:val="22"/>
          <w:szCs w:val="22"/>
        </w:rPr>
        <w:t xml:space="preserve">CT-06 — Friction proportionnée au risque : nulle en consultation, minimale en déclaration, forte uniquement pour KYC, transfert et réclamation.</w:t>
      </w:r>
    </w:p>
    <w:p>
      <w:pPr>
        <w:pStyle w:val="Heading1"/>
        <w:spacing w:after="180" w:before="360"/>
      </w:pPr>
      <w:r>
        <w:rPr>
          <w:rFonts w:ascii="Calibri" w:cs="Calibri" w:eastAsia="Calibri" w:hAnsi="Calibri"/>
          <w:b/>
          <w:bCs/>
          <w:color w:val="0B2545"/>
          <w:sz w:val="32"/>
          <w:szCs w:val="32"/>
        </w:rPr>
        <w:t xml:space="preserve">2. Personas et parcours critiques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900"/>
        <w:gridCol w:w="4600"/>
        <w:gridCol w:w="3100"/>
      </w:tblGrid>
      <w:tr>
        <w:trPr>
          <w:tblHeader/>
        </w:trPr>
        <w:tc>
          <w:tcPr>
            <w:tcW w:type="dxa" w:w="1900"/>
            <w:shd w:fill="0B2545" w:val="clear"/>
            <w:tcMar>
              <w:top w:type="dxa" w:w="70"/>
              <w:left w:type="dxa" w:w="110"/>
              <w:bottom w:type="dxa" w:w="70"/>
              <w:right w:type="dxa" w:w="110"/>
            </w:tcMar>
          </w:tcPr>
          <w:p>
            <w:r>
              <w:rPr>
                <w:rFonts w:ascii="Calibri" w:cs="Calibri" w:eastAsia="Calibri" w:hAnsi="Calibri"/>
                <w:b/>
                <w:bCs/>
                <w:color w:val="FFFFFF"/>
                <w:sz w:val="19"/>
                <w:szCs w:val="19"/>
              </w:rPr>
              <w:t xml:space="preserve">Persona</w:t>
            </w:r>
          </w:p>
        </w:tc>
        <w:tc>
          <w:tcPr>
            <w:tcW w:type="dxa" w:w="4600"/>
            <w:shd w:fill="0B2545" w:val="clear"/>
            <w:tcMar>
              <w:top w:type="dxa" w:w="70"/>
              <w:left w:type="dxa" w:w="110"/>
              <w:bottom w:type="dxa" w:w="70"/>
              <w:right w:type="dxa" w:w="110"/>
            </w:tcMar>
          </w:tcPr>
          <w:p>
            <w:r>
              <w:rPr>
                <w:rFonts w:ascii="Calibri" w:cs="Calibri" w:eastAsia="Calibri" w:hAnsi="Calibri"/>
                <w:b/>
                <w:bCs/>
                <w:color w:val="FFFFFF"/>
                <w:sz w:val="19"/>
                <w:szCs w:val="19"/>
              </w:rPr>
              <w:t xml:space="preserve">Parcours critique</w:t>
            </w:r>
          </w:p>
        </w:tc>
        <w:tc>
          <w:tcPr>
            <w:tcW w:type="dxa" w:w="3100"/>
            <w:shd w:fill="0B2545" w:val="clear"/>
            <w:tcMar>
              <w:top w:type="dxa" w:w="70"/>
              <w:left w:type="dxa" w:w="110"/>
              <w:bottom w:type="dxa" w:w="70"/>
              <w:right w:type="dxa" w:w="110"/>
            </w:tcMar>
          </w:tcPr>
          <w:p>
            <w:r>
              <w:rPr>
                <w:rFonts w:ascii="Calibri" w:cs="Calibri" w:eastAsia="Calibri" w:hAnsi="Calibri"/>
                <w:b/>
                <w:bCs/>
                <w:color w:val="FFFFFF"/>
                <w:sz w:val="19"/>
                <w:szCs w:val="19"/>
              </w:rPr>
              <w:t xml:space="preserve">Succès mesuré par</w:t>
            </w:r>
          </w:p>
        </w:tc>
      </w:tr>
      <w:tr>
        <w:tc>
          <w:tcPr>
            <w:tcW w:type="dxa" w:w="1900"/>
            <w:tcMar>
              <w:top w:type="dxa" w:w="70"/>
              <w:left w:type="dxa" w:w="110"/>
              <w:bottom w:type="dxa" w:w="70"/>
              <w:right w:type="dxa" w:w="110"/>
            </w:tcMar>
          </w:tcPr>
          <w:p>
            <w:r>
              <w:rPr>
                <w:rFonts w:ascii="Calibri" w:cs="Calibri" w:eastAsia="Calibri" w:hAnsi="Calibri"/>
                <w:b w:val="false"/>
                <w:bCs w:val="false"/>
                <w:color w:val="1A1A1A"/>
                <w:sz w:val="19"/>
                <w:szCs w:val="19"/>
              </w:rPr>
              <w:t xml:space="preserve">Loueur B2B</w:t>
            </w:r>
          </w:p>
        </w:tc>
        <w:tc>
          <w:tcPr>
            <w:tcW w:type="dxa" w:w="4600"/>
            <w:tcMar>
              <w:top w:type="dxa" w:w="70"/>
              <w:left w:type="dxa" w:w="110"/>
              <w:bottom w:type="dxa" w:w="70"/>
              <w:right w:type="dxa" w:w="110"/>
            </w:tcMar>
          </w:tcPr>
          <w:p>
            <w:r>
              <w:rPr>
                <w:rFonts w:ascii="Calibri" w:cs="Calibri" w:eastAsia="Calibri" w:hAnsi="Calibri"/>
                <w:b w:val="false"/>
                <w:bCs w:val="false"/>
                <w:color w:val="1A1A1A"/>
                <w:sz w:val="19"/>
                <w:szCs w:val="19"/>
              </w:rPr>
              <w:t xml:space="preserve">Importer sa flotte, marquer les véhicules « En location », recevoir une alerte si tentative d'enregistrement ou consultation suspecte</w:t>
            </w:r>
          </w:p>
        </w:tc>
        <w:tc>
          <w:tcPr>
            <w:tcW w:type="dxa" w:w="3100"/>
            <w:tcMar>
              <w:top w:type="dxa" w:w="70"/>
              <w:left w:type="dxa" w:w="110"/>
              <w:bottom w:type="dxa" w:w="70"/>
              <w:right w:type="dxa" w:w="110"/>
            </w:tcMar>
          </w:tcPr>
          <w:p>
            <w:r>
              <w:rPr>
                <w:rFonts w:ascii="Calibri" w:cs="Calibri" w:eastAsia="Calibri" w:hAnsi="Calibri"/>
                <w:b w:val="false"/>
                <w:bCs w:val="false"/>
                <w:color w:val="1A1A1A"/>
                <w:sz w:val="19"/>
                <w:szCs w:val="19"/>
              </w:rPr>
              <w:t xml:space="preserve">Flotte 100 % couverte en &lt; 30 min ; alerte &lt; 1 min</w:t>
            </w:r>
          </w:p>
        </w:tc>
      </w:tr>
      <w:tr>
        <w:tc>
          <w:tcPr>
            <w:tcW w:type="dxa" w:w="1900"/>
            <w:shd w:fill="F2F5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Acheteur prudent</w:t>
            </w:r>
          </w:p>
        </w:tc>
        <w:tc>
          <w:tcPr>
            <w:tcW w:type="dxa" w:w="4600"/>
            <w:shd w:fill="F2F5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Taper/scanner un identifiant → lire le statut → décider</w:t>
            </w:r>
          </w:p>
        </w:tc>
        <w:tc>
          <w:tcPr>
            <w:tcW w:type="dxa" w:w="3100"/>
            <w:shd w:fill="F2F5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Résultat &lt; 1 s ; compréhension immédiate du verdict</w:t>
            </w:r>
          </w:p>
        </w:tc>
      </w:tr>
      <w:tr>
        <w:tc>
          <w:tcPr>
            <w:tcW w:type="dxa" w:w="1900"/>
            <w:tcMar>
              <w:top w:type="dxa" w:w="70"/>
              <w:left w:type="dxa" w:w="110"/>
              <w:bottom w:type="dxa" w:w="70"/>
              <w:right w:type="dxa" w:w="110"/>
            </w:tcMar>
          </w:tcPr>
          <w:p>
            <w:r>
              <w:rPr>
                <w:rFonts w:ascii="Calibri" w:cs="Calibri" w:eastAsia="Calibri" w:hAnsi="Calibri"/>
                <w:b w:val="false"/>
                <w:bCs w:val="false"/>
                <w:color w:val="1A1A1A"/>
                <w:sz w:val="19"/>
                <w:szCs w:val="19"/>
              </w:rPr>
              <w:t xml:space="preserve">Propriétaire particulier</w:t>
            </w:r>
          </w:p>
        </w:tc>
        <w:tc>
          <w:tcPr>
            <w:tcW w:type="dxa" w:w="4600"/>
            <w:tcMar>
              <w:top w:type="dxa" w:w="70"/>
              <w:left w:type="dxa" w:w="110"/>
              <w:bottom w:type="dxa" w:w="70"/>
              <w:right w:type="dxa" w:w="110"/>
            </w:tcMar>
          </w:tcPr>
          <w:p>
            <w:r>
              <w:rPr>
                <w:rFonts w:ascii="Calibri" w:cs="Calibri" w:eastAsia="Calibri" w:hAnsi="Calibri"/>
                <w:b w:val="false"/>
                <w:bCs w:val="false"/>
                <w:color w:val="1A1A1A"/>
                <w:sz w:val="19"/>
                <w:szCs w:val="19"/>
              </w:rPr>
              <w:t xml:space="preserve">Enregistrer un téléphone/moto/véhicule en &lt; 90 s ; déclarer un vol en un geste</w:t>
            </w:r>
          </w:p>
        </w:tc>
        <w:tc>
          <w:tcPr>
            <w:tcW w:type="dxa" w:w="3100"/>
            <w:tcMar>
              <w:top w:type="dxa" w:w="70"/>
              <w:left w:type="dxa" w:w="110"/>
              <w:bottom w:type="dxa" w:w="70"/>
              <w:right w:type="dxa" w:w="110"/>
            </w:tcMar>
          </w:tcPr>
          <w:p>
            <w:r>
              <w:rPr>
                <w:rFonts w:ascii="Calibri" w:cs="Calibri" w:eastAsia="Calibri" w:hAnsi="Calibri"/>
                <w:b w:val="false"/>
                <w:bCs w:val="false"/>
                <w:color w:val="1A1A1A"/>
                <w:sz w:val="19"/>
                <w:szCs w:val="19"/>
              </w:rPr>
              <w:t xml:space="preserve">Temps médian &lt; 90 s ; vol déclaré en &lt; 30 s</w:t>
            </w:r>
          </w:p>
        </w:tc>
      </w:tr>
      <w:tr>
        <w:tc>
          <w:tcPr>
            <w:tcW w:type="dxa" w:w="1900"/>
            <w:shd w:fill="F2F5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Victime d'usurpation</w:t>
            </w:r>
          </w:p>
        </w:tc>
        <w:tc>
          <w:tcPr>
            <w:tcW w:type="dxa" w:w="4600"/>
            <w:shd w:fill="F2F5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Déposer une réclamation avec preuves, suivre le dossier, obtenir le gel du bien</w:t>
            </w:r>
          </w:p>
        </w:tc>
        <w:tc>
          <w:tcPr>
            <w:tcW w:type="dxa" w:w="3100"/>
            <w:shd w:fill="F2F5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Gel « Litige » immédiat dès recevabilité</w:t>
            </w:r>
          </w:p>
        </w:tc>
      </w:tr>
      <w:tr>
        <w:tc>
          <w:tcPr>
            <w:tcW w:type="dxa" w:w="1900"/>
            <w:tcMar>
              <w:top w:type="dxa" w:w="70"/>
              <w:left w:type="dxa" w:w="110"/>
              <w:bottom w:type="dxa" w:w="70"/>
              <w:right w:type="dxa" w:w="110"/>
            </w:tcMar>
          </w:tcPr>
          <w:p>
            <w:r>
              <w:rPr>
                <w:rFonts w:ascii="Calibri" w:cs="Calibri" w:eastAsia="Calibri" w:hAnsi="Calibri"/>
                <w:b w:val="false"/>
                <w:bCs w:val="false"/>
                <w:color w:val="1A1A1A"/>
                <w:sz w:val="19"/>
                <w:szCs w:val="19"/>
              </w:rPr>
              <w:t xml:space="preserve">Agent d'arbitrage</w:t>
            </w:r>
          </w:p>
        </w:tc>
        <w:tc>
          <w:tcPr>
            <w:tcW w:type="dxa" w:w="4600"/>
            <w:tcMar>
              <w:top w:type="dxa" w:w="70"/>
              <w:left w:type="dxa" w:w="110"/>
              <w:bottom w:type="dxa" w:w="70"/>
              <w:right w:type="dxa" w:w="110"/>
            </w:tcMar>
          </w:tcPr>
          <w:p>
            <w:r>
              <w:rPr>
                <w:rFonts w:ascii="Calibri" w:cs="Calibri" w:eastAsia="Calibri" w:hAnsi="Calibri"/>
                <w:b w:val="false"/>
                <w:bCs w:val="false"/>
                <w:color w:val="1A1A1A"/>
                <w:sz w:val="19"/>
                <w:szCs w:val="19"/>
              </w:rPr>
              <w:t xml:space="preserve">Instruire un dossier contradictoire avec la grille de pondération</w:t>
            </w:r>
          </w:p>
        </w:tc>
        <w:tc>
          <w:tcPr>
            <w:tcW w:type="dxa" w:w="3100"/>
            <w:tcMar>
              <w:top w:type="dxa" w:w="70"/>
              <w:left w:type="dxa" w:w="110"/>
              <w:bottom w:type="dxa" w:w="70"/>
              <w:right w:type="dxa" w:w="110"/>
            </w:tcMar>
          </w:tcPr>
          <w:p>
            <w:r>
              <w:rPr>
                <w:rFonts w:ascii="Calibri" w:cs="Calibri" w:eastAsia="Calibri" w:hAnsi="Calibri"/>
                <w:b w:val="false"/>
                <w:bCs w:val="false"/>
                <w:color w:val="1A1A1A"/>
                <w:sz w:val="19"/>
                <w:szCs w:val="19"/>
              </w:rPr>
              <w:t xml:space="preserve">Décision motivée ≤ 10 jours ouvrés</w:t>
            </w:r>
          </w:p>
        </w:tc>
      </w:tr>
    </w:tbl>
    <w:p>
      <w:pPr>
        <w:pStyle w:val="Heading1"/>
        <w:spacing w:after="180" w:before="360"/>
      </w:pPr>
      <w:r>
        <w:rPr>
          <w:rFonts w:ascii="Calibri" w:cs="Calibri" w:eastAsia="Calibri" w:hAnsi="Calibri"/>
          <w:b/>
          <w:bCs/>
          <w:color w:val="0B2545"/>
          <w:sz w:val="32"/>
          <w:szCs w:val="32"/>
        </w:rPr>
        <w:t xml:space="preserve">3. Matrice des statuts d'un bien</w:t>
      </w:r>
    </w:p>
    <w:p>
      <w:pPr>
        <w:spacing w:after="130" w:line="270"/>
        <w:jc w:val="both"/>
      </w:pPr>
      <w:r>
        <w:rPr>
          <w:rFonts w:ascii="Calibri" w:cs="Calibri" w:eastAsia="Calibri" w:hAnsi="Calibri"/>
          <w:b w:val="false"/>
          <w:bCs w:val="false"/>
          <w:i w:val="false"/>
          <w:iCs w:val="false"/>
          <w:color w:val="1A1A1A"/>
          <w:sz w:val="22"/>
          <w:szCs w:val="22"/>
        </w:rPr>
        <w:t xml:space="preserve">Chaque bien porte deux dimensions indépendantes affichées ensemble : le niveau de fiabilité de l'enregistrement et le statut de vie du bien.</w:t>
      </w:r>
    </w:p>
    <w:p>
      <w:pPr>
        <w:pStyle w:val="Heading2"/>
        <w:spacing w:after="140" w:before="280"/>
      </w:pPr>
      <w:r>
        <w:rPr>
          <w:rFonts w:ascii="Calibri" w:cs="Calibri" w:eastAsia="Calibri" w:hAnsi="Calibri"/>
          <w:b/>
          <w:bCs/>
          <w:color w:val="D97706"/>
          <w:sz w:val="26"/>
          <w:szCs w:val="26"/>
        </w:rPr>
        <w:t xml:space="preserve">3.1 Niveaux de fiabilité</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4900"/>
        <w:gridCol w:w="2500"/>
      </w:tblGrid>
      <w:tr>
        <w:trPr>
          <w:tblHeader/>
        </w:trPr>
        <w:tc>
          <w:tcPr>
            <w:tcW w:type="dxa" w:w="700"/>
            <w:shd w:fill="0B2545" w:val="clear"/>
            <w:tcMar>
              <w:top w:type="dxa" w:w="70"/>
              <w:left w:type="dxa" w:w="110"/>
              <w:bottom w:type="dxa" w:w="70"/>
              <w:right w:type="dxa" w:w="110"/>
            </w:tcMar>
          </w:tcPr>
          <w:p>
            <w:r>
              <w:rPr>
                <w:rFonts w:ascii="Calibri" w:cs="Calibri" w:eastAsia="Calibri" w:hAnsi="Calibri"/>
                <w:b/>
                <w:bCs/>
                <w:color w:val="FFFFFF"/>
                <w:sz w:val="19"/>
                <w:szCs w:val="19"/>
              </w:rPr>
              <w:t xml:space="preserve">Code</w:t>
            </w:r>
          </w:p>
        </w:tc>
        <w:tc>
          <w:tcPr>
            <w:tcW w:type="dxa" w:w="1500"/>
            <w:shd w:fill="0B2545" w:val="clear"/>
            <w:tcMar>
              <w:top w:type="dxa" w:w="70"/>
              <w:left w:type="dxa" w:w="110"/>
              <w:bottom w:type="dxa" w:w="70"/>
              <w:right w:type="dxa" w:w="110"/>
            </w:tcMar>
          </w:tcPr>
          <w:p>
            <w:r>
              <w:rPr>
                <w:rFonts w:ascii="Calibri" w:cs="Calibri" w:eastAsia="Calibri" w:hAnsi="Calibri"/>
                <w:b/>
                <w:bCs/>
                <w:color w:val="FFFFFF"/>
                <w:sz w:val="19"/>
                <w:szCs w:val="19"/>
              </w:rPr>
              <w:t xml:space="preserve">Niveau</w:t>
            </w:r>
          </w:p>
        </w:tc>
        <w:tc>
          <w:tcPr>
            <w:tcW w:type="dxa" w:w="4900"/>
            <w:shd w:fill="0B2545" w:val="clear"/>
            <w:tcMar>
              <w:top w:type="dxa" w:w="70"/>
              <w:left w:type="dxa" w:w="110"/>
              <w:bottom w:type="dxa" w:w="70"/>
              <w:right w:type="dxa" w:w="110"/>
            </w:tcMar>
          </w:tcPr>
          <w:p>
            <w:r>
              <w:rPr>
                <w:rFonts w:ascii="Calibri" w:cs="Calibri" w:eastAsia="Calibri" w:hAnsi="Calibri"/>
                <w:b/>
                <w:bCs/>
                <w:color w:val="FFFFFF"/>
                <w:sz w:val="19"/>
                <w:szCs w:val="19"/>
              </w:rPr>
              <w:t xml:space="preserve">Conditions d'obtention</w:t>
            </w:r>
          </w:p>
        </w:tc>
        <w:tc>
          <w:tcPr>
            <w:tcW w:type="dxa" w:w="2500"/>
            <w:shd w:fill="0B2545" w:val="clear"/>
            <w:tcMar>
              <w:top w:type="dxa" w:w="70"/>
              <w:left w:type="dxa" w:w="110"/>
              <w:bottom w:type="dxa" w:w="70"/>
              <w:right w:type="dxa" w:w="110"/>
            </w:tcMar>
          </w:tcPr>
          <w:p>
            <w:r>
              <w:rPr>
                <w:rFonts w:ascii="Calibri" w:cs="Calibri" w:eastAsia="Calibri" w:hAnsi="Calibri"/>
                <w:b/>
                <w:bCs/>
                <w:color w:val="FFFFFF"/>
                <w:sz w:val="19"/>
                <w:szCs w:val="19"/>
              </w:rPr>
              <w:t xml:space="preserve">Affichage public</w:t>
            </w:r>
          </w:p>
        </w:tc>
      </w:tr>
      <w:tr>
        <w:tc>
          <w:tcPr>
            <w:tcW w:type="dxa" w:w="700"/>
            <w:tcMar>
              <w:top w:type="dxa" w:w="70"/>
              <w:left w:type="dxa" w:w="110"/>
              <w:bottom w:type="dxa" w:w="70"/>
              <w:right w:type="dxa" w:w="110"/>
            </w:tcMar>
          </w:tcPr>
          <w:p>
            <w:r>
              <w:rPr>
                <w:rFonts w:ascii="Calibri" w:cs="Calibri" w:eastAsia="Calibri" w:hAnsi="Calibri"/>
                <w:b w:val="false"/>
                <w:bCs w:val="false"/>
                <w:color w:val="1A1A1A"/>
                <w:sz w:val="19"/>
                <w:szCs w:val="19"/>
              </w:rPr>
              <w:t xml:space="preserve">F1</w:t>
            </w:r>
          </w:p>
        </w:tc>
        <w:tc>
          <w:tcPr>
            <w:tcW w:type="dxa" w:w="1500"/>
            <w:tcMar>
              <w:top w:type="dxa" w:w="70"/>
              <w:left w:type="dxa" w:w="110"/>
              <w:bottom w:type="dxa" w:w="70"/>
              <w:right w:type="dxa" w:w="110"/>
            </w:tcMar>
          </w:tcPr>
          <w:p>
            <w:r>
              <w:rPr>
                <w:rFonts w:ascii="Calibri" w:cs="Calibri" w:eastAsia="Calibri" w:hAnsi="Calibri"/>
                <w:b w:val="false"/>
                <w:bCs w:val="false"/>
                <w:color w:val="1A1A1A"/>
                <w:sz w:val="19"/>
                <w:szCs w:val="19"/>
              </w:rPr>
              <w:t xml:space="preserve">Déclaré</w:t>
            </w:r>
          </w:p>
        </w:tc>
        <w:tc>
          <w:tcPr>
            <w:tcW w:type="dxa" w:w="4900"/>
            <w:tcMar>
              <w:top w:type="dxa" w:w="70"/>
              <w:left w:type="dxa" w:w="110"/>
              <w:bottom w:type="dxa" w:w="70"/>
              <w:right w:type="dxa" w:w="110"/>
            </w:tcMar>
          </w:tcPr>
          <w:p>
            <w:r>
              <w:rPr>
                <w:rFonts w:ascii="Calibri" w:cs="Calibri" w:eastAsia="Calibri" w:hAnsi="Calibri"/>
                <w:b w:val="false"/>
                <w:bCs w:val="false"/>
                <w:color w:val="1A1A1A"/>
                <w:sz w:val="19"/>
                <w:szCs w:val="19"/>
              </w:rPr>
              <w:t xml:space="preserve">Identifiant unique + ≥ 1 photo. Compte simple (téléphone vérifié OTP).</w:t>
            </w:r>
          </w:p>
        </w:tc>
        <w:tc>
          <w:tcPr>
            <w:tcW w:type="dxa" w:w="2500"/>
            <w:tcMar>
              <w:top w:type="dxa" w:w="70"/>
              <w:left w:type="dxa" w:w="110"/>
              <w:bottom w:type="dxa" w:w="70"/>
              <w:right w:type="dxa" w:w="110"/>
            </w:tcMar>
          </w:tcPr>
          <w:p>
            <w:r>
              <w:rPr>
                <w:rFonts w:ascii="Calibri" w:cs="Calibri" w:eastAsia="Calibri" w:hAnsi="Calibri"/>
                <w:b w:val="false"/>
                <w:bCs w:val="false"/>
                <w:color w:val="1A1A1A"/>
                <w:sz w:val="19"/>
                <w:szCs w:val="19"/>
              </w:rPr>
              <w:t xml:space="preserve">« Déclaré, non vérifié » (gris)</w:t>
            </w:r>
          </w:p>
        </w:tc>
      </w:tr>
      <w:tr>
        <w:tc>
          <w:tcPr>
            <w:tcW w:type="dxa" w:w="700"/>
            <w:shd w:fill="F2F5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F2</w:t>
            </w:r>
          </w:p>
        </w:tc>
        <w:tc>
          <w:tcPr>
            <w:tcW w:type="dxa" w:w="1500"/>
            <w:shd w:fill="F2F5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Documenté</w:t>
            </w:r>
          </w:p>
        </w:tc>
        <w:tc>
          <w:tcPr>
            <w:tcW w:type="dxa" w:w="4900"/>
            <w:shd w:fill="F2F5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F1 + justificatif recevable (facture, carte grise, ACD) + KYC complet du déclarant (CNI + selfie liveness).</w:t>
            </w:r>
          </w:p>
        </w:tc>
        <w:tc>
          <w:tcPr>
            <w:tcW w:type="dxa" w:w="2500"/>
            <w:shd w:fill="F2F5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 Documenté » (bleu)</w:t>
            </w:r>
          </w:p>
        </w:tc>
      </w:tr>
      <w:tr>
        <w:tc>
          <w:tcPr>
            <w:tcW w:type="dxa" w:w="700"/>
            <w:tcMar>
              <w:top w:type="dxa" w:w="70"/>
              <w:left w:type="dxa" w:w="110"/>
              <w:bottom w:type="dxa" w:w="70"/>
              <w:right w:type="dxa" w:w="110"/>
            </w:tcMar>
          </w:tcPr>
          <w:p>
            <w:r>
              <w:rPr>
                <w:rFonts w:ascii="Calibri" w:cs="Calibri" w:eastAsia="Calibri" w:hAnsi="Calibri"/>
                <w:b w:val="false"/>
                <w:bCs w:val="false"/>
                <w:color w:val="1A1A1A"/>
                <w:sz w:val="19"/>
                <w:szCs w:val="19"/>
              </w:rPr>
              <w:t xml:space="preserve">F3</w:t>
            </w:r>
          </w:p>
        </w:tc>
        <w:tc>
          <w:tcPr>
            <w:tcW w:type="dxa" w:w="1500"/>
            <w:tcMar>
              <w:top w:type="dxa" w:w="70"/>
              <w:left w:type="dxa" w:w="110"/>
              <w:bottom w:type="dxa" w:w="70"/>
              <w:right w:type="dxa" w:w="110"/>
            </w:tcMar>
          </w:tcPr>
          <w:p>
            <w:r>
              <w:rPr>
                <w:rFonts w:ascii="Calibri" w:cs="Calibri" w:eastAsia="Calibri" w:hAnsi="Calibri"/>
                <w:b w:val="false"/>
                <w:bCs w:val="false"/>
                <w:color w:val="1A1A1A"/>
                <w:sz w:val="19"/>
                <w:szCs w:val="19"/>
              </w:rPr>
              <w:t xml:space="preserve">Vérifié</w:t>
            </w:r>
          </w:p>
        </w:tc>
        <w:tc>
          <w:tcPr>
            <w:tcW w:type="dxa" w:w="4900"/>
            <w:tcMar>
              <w:top w:type="dxa" w:w="70"/>
              <w:left w:type="dxa" w:w="110"/>
              <w:bottom w:type="dxa" w:w="70"/>
              <w:right w:type="dxa" w:w="110"/>
            </w:tcMar>
          </w:tcPr>
          <w:p>
            <w:r>
              <w:rPr>
                <w:rFonts w:ascii="Calibri" w:cs="Calibri" w:eastAsia="Calibri" w:hAnsi="Calibri"/>
                <w:b w:val="false"/>
                <w:bCs w:val="false"/>
                <w:color w:val="1A1A1A"/>
                <w:sz w:val="19"/>
                <w:szCs w:val="19"/>
              </w:rPr>
              <w:t xml:space="preserve">F2 + contrôle croisé back-office (cohérence document/identifiant/identité) ; à terme, rapprochement institutionnel.</w:t>
            </w:r>
          </w:p>
        </w:tc>
        <w:tc>
          <w:tcPr>
            <w:tcW w:type="dxa" w:w="2500"/>
            <w:tcMar>
              <w:top w:type="dxa" w:w="70"/>
              <w:left w:type="dxa" w:w="110"/>
              <w:bottom w:type="dxa" w:w="70"/>
              <w:right w:type="dxa" w:w="110"/>
            </w:tcMar>
          </w:tcPr>
          <w:p>
            <w:r>
              <w:rPr>
                <w:rFonts w:ascii="Calibri" w:cs="Calibri" w:eastAsia="Calibri" w:hAnsi="Calibri"/>
                <w:b w:val="false"/>
                <w:bCs w:val="false"/>
                <w:color w:val="1A1A1A"/>
                <w:sz w:val="19"/>
                <w:szCs w:val="19"/>
              </w:rPr>
              <w:t xml:space="preserve">« Vérifié » (vert)</w:t>
            </w:r>
          </w:p>
        </w:tc>
      </w:tr>
    </w:tbl>
    <w:p>
      <w:pPr>
        <w:spacing w:after="100"/>
      </w:pPr>
    </w:p>
    <w:p>
      <w:pPr>
        <w:spacing w:after="130" w:line="270"/>
        <w:jc w:val="both"/>
      </w:pPr>
      <w:r>
        <w:rPr>
          <w:rFonts w:ascii="Calibri" w:cs="Calibri" w:eastAsia="Calibri" w:hAnsi="Calibri"/>
          <w:b w:val="false"/>
          <w:bCs w:val="false"/>
          <w:i w:val="false"/>
          <w:iCs w:val="false"/>
          <w:color w:val="1A1A1A"/>
          <w:sz w:val="22"/>
          <w:szCs w:val="22"/>
        </w:rPr>
        <w:t xml:space="preserve">Signaux temporels publics complémentaires (non antidatables) : date d'enregistrement du bien et ancienneté du compte KYC du déclarant.</w:t>
      </w:r>
    </w:p>
    <w:p>
      <w:pPr>
        <w:pStyle w:val="Heading2"/>
        <w:spacing w:after="140" w:before="280"/>
      </w:pPr>
      <w:r>
        <w:rPr>
          <w:rFonts w:ascii="Calibri" w:cs="Calibri" w:eastAsia="Calibri" w:hAnsi="Calibri"/>
          <w:b/>
          <w:bCs/>
          <w:color w:val="D97706"/>
          <w:sz w:val="26"/>
          <w:szCs w:val="26"/>
        </w:rPr>
        <w:t xml:space="preserve">3.2 Statuts de vie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2900"/>
        <w:gridCol w:w="3400"/>
        <w:gridCol w:w="1000"/>
      </w:tblGrid>
      <w:tr>
        <w:trPr>
          <w:tblHeader/>
        </w:trPr>
        <w:tc>
          <w:tcPr>
            <w:tcW w:type="dxa" w:w="800"/>
            <w:shd w:fill="0B2545" w:val="clear"/>
            <w:tcMar>
              <w:top w:type="dxa" w:w="70"/>
              <w:left w:type="dxa" w:w="110"/>
              <w:bottom w:type="dxa" w:w="70"/>
              <w:right w:type="dxa" w:w="110"/>
            </w:tcMar>
          </w:tcPr>
          <w:p>
            <w:r>
              <w:rPr>
                <w:rFonts w:ascii="Calibri" w:cs="Calibri" w:eastAsia="Calibri" w:hAnsi="Calibri"/>
                <w:b/>
                <w:bCs/>
                <w:color w:val="FFFFFF"/>
                <w:sz w:val="19"/>
                <w:szCs w:val="19"/>
              </w:rPr>
              <w:t xml:space="preserve">Code</w:t>
            </w:r>
          </w:p>
        </w:tc>
        <w:tc>
          <w:tcPr>
            <w:tcW w:type="dxa" w:w="1500"/>
            <w:shd w:fill="0B2545" w:val="clear"/>
            <w:tcMar>
              <w:top w:type="dxa" w:w="70"/>
              <w:left w:type="dxa" w:w="110"/>
              <w:bottom w:type="dxa" w:w="70"/>
              <w:right w:type="dxa" w:w="110"/>
            </w:tcMar>
          </w:tcPr>
          <w:p>
            <w:r>
              <w:rPr>
                <w:rFonts w:ascii="Calibri" w:cs="Calibri" w:eastAsia="Calibri" w:hAnsi="Calibri"/>
                <w:b/>
                <w:bCs/>
                <w:color w:val="FFFFFF"/>
                <w:sz w:val="19"/>
                <w:szCs w:val="19"/>
              </w:rPr>
              <w:t xml:space="preserve">Statut</w:t>
            </w:r>
          </w:p>
        </w:tc>
        <w:tc>
          <w:tcPr>
            <w:tcW w:type="dxa" w:w="2900"/>
            <w:shd w:fill="0B2545" w:val="clear"/>
            <w:tcMar>
              <w:top w:type="dxa" w:w="70"/>
              <w:left w:type="dxa" w:w="110"/>
              <w:bottom w:type="dxa" w:w="70"/>
              <w:right w:type="dxa" w:w="110"/>
            </w:tcMar>
          </w:tcPr>
          <w:p>
            <w:r>
              <w:rPr>
                <w:rFonts w:ascii="Calibri" w:cs="Calibri" w:eastAsia="Calibri" w:hAnsi="Calibri"/>
                <w:b/>
                <w:bCs/>
                <w:color w:val="FFFFFF"/>
                <w:sz w:val="19"/>
                <w:szCs w:val="19"/>
              </w:rPr>
              <w:t xml:space="preserve">Déclencheur</w:t>
            </w:r>
          </w:p>
        </w:tc>
        <w:tc>
          <w:tcPr>
            <w:tcW w:type="dxa" w:w="3400"/>
            <w:shd w:fill="0B2545" w:val="clear"/>
            <w:tcMar>
              <w:top w:type="dxa" w:w="70"/>
              <w:left w:type="dxa" w:w="110"/>
              <w:bottom w:type="dxa" w:w="70"/>
              <w:right w:type="dxa" w:w="110"/>
            </w:tcMar>
          </w:tcPr>
          <w:p>
            <w:r>
              <w:rPr>
                <w:rFonts w:ascii="Calibri" w:cs="Calibri" w:eastAsia="Calibri" w:hAnsi="Calibri"/>
                <w:b/>
                <w:bCs/>
                <w:color w:val="FFFFFF"/>
                <w:sz w:val="19"/>
                <w:szCs w:val="19"/>
              </w:rPr>
              <w:t xml:space="preserve">Effet public</w:t>
            </w:r>
          </w:p>
        </w:tc>
        <w:tc>
          <w:tcPr>
            <w:tcW w:type="dxa" w:w="1000"/>
            <w:shd w:fill="0B2545" w:val="clear"/>
            <w:tcMar>
              <w:top w:type="dxa" w:w="70"/>
              <w:left w:type="dxa" w:w="110"/>
              <w:bottom w:type="dxa" w:w="70"/>
              <w:right w:type="dxa" w:w="110"/>
            </w:tcMar>
          </w:tcPr>
          <w:p>
            <w:r>
              <w:rPr>
                <w:rFonts w:ascii="Calibri" w:cs="Calibri" w:eastAsia="Calibri" w:hAnsi="Calibri"/>
                <w:b/>
                <w:bCs/>
                <w:color w:val="FFFFFF"/>
                <w:sz w:val="19"/>
                <w:szCs w:val="19"/>
              </w:rPr>
              <w:t xml:space="preserve">Couleur</w:t>
            </w:r>
          </w:p>
        </w:tc>
      </w:tr>
      <w:tr>
        <w:tc>
          <w:tcPr>
            <w:tcW w:type="dxa" w:w="800"/>
            <w:tcMar>
              <w:top w:type="dxa" w:w="70"/>
              <w:left w:type="dxa" w:w="110"/>
              <w:bottom w:type="dxa" w:w="70"/>
              <w:right w:type="dxa" w:w="110"/>
            </w:tcMar>
          </w:tcPr>
          <w:p>
            <w:r>
              <w:rPr>
                <w:rFonts w:ascii="Calibri" w:cs="Calibri" w:eastAsia="Calibri" w:hAnsi="Calibri"/>
                <w:b w:val="false"/>
                <w:bCs w:val="false"/>
                <w:color w:val="1A1A1A"/>
                <w:sz w:val="19"/>
                <w:szCs w:val="19"/>
              </w:rPr>
              <w:t xml:space="preserve">V-ACT</w:t>
            </w:r>
          </w:p>
        </w:tc>
        <w:tc>
          <w:tcPr>
            <w:tcW w:type="dxa" w:w="1500"/>
            <w:tcMar>
              <w:top w:type="dxa" w:w="70"/>
              <w:left w:type="dxa" w:w="110"/>
              <w:bottom w:type="dxa" w:w="70"/>
              <w:right w:type="dxa" w:w="110"/>
            </w:tcMar>
          </w:tcPr>
          <w:p>
            <w:r>
              <w:rPr>
                <w:rFonts w:ascii="Calibri" w:cs="Calibri" w:eastAsia="Calibri" w:hAnsi="Calibri"/>
                <w:b w:val="false"/>
                <w:bCs w:val="false"/>
                <w:color w:val="1A1A1A"/>
                <w:sz w:val="19"/>
                <w:szCs w:val="19"/>
              </w:rPr>
              <w:t xml:space="preserve">Actif</w:t>
            </w:r>
          </w:p>
        </w:tc>
        <w:tc>
          <w:tcPr>
            <w:tcW w:type="dxa" w:w="2900"/>
            <w:tcMar>
              <w:top w:type="dxa" w:w="70"/>
              <w:left w:type="dxa" w:w="110"/>
              <w:bottom w:type="dxa" w:w="70"/>
              <w:right w:type="dxa" w:w="110"/>
            </w:tcMar>
          </w:tcPr>
          <w:p>
            <w:r>
              <w:rPr>
                <w:rFonts w:ascii="Calibri" w:cs="Calibri" w:eastAsia="Calibri" w:hAnsi="Calibri"/>
                <w:b w:val="false"/>
                <w:bCs w:val="false"/>
                <w:color w:val="1A1A1A"/>
                <w:sz w:val="19"/>
                <w:szCs w:val="19"/>
              </w:rPr>
              <w:t xml:space="preserve">État par défaut après enregistrement</w:t>
            </w:r>
          </w:p>
        </w:tc>
        <w:tc>
          <w:tcPr>
            <w:tcW w:type="dxa" w:w="3400"/>
            <w:tcMar>
              <w:top w:type="dxa" w:w="70"/>
              <w:left w:type="dxa" w:w="110"/>
              <w:bottom w:type="dxa" w:w="70"/>
              <w:right w:type="dxa" w:w="110"/>
            </w:tcMar>
          </w:tcPr>
          <w:p>
            <w:r>
              <w:rPr>
                <w:rFonts w:ascii="Calibri" w:cs="Calibri" w:eastAsia="Calibri" w:hAnsi="Calibri"/>
                <w:b w:val="false"/>
                <w:bCs w:val="false"/>
                <w:color w:val="1A1A1A"/>
                <w:sz w:val="19"/>
                <w:szCs w:val="19"/>
              </w:rPr>
              <w:t xml:space="preserve">Bien consultable, statut affiché</w:t>
            </w:r>
          </w:p>
        </w:tc>
        <w:tc>
          <w:tcPr>
            <w:tcW w:type="dxa" w:w="1000"/>
            <w:tcMar>
              <w:top w:type="dxa" w:w="70"/>
              <w:left w:type="dxa" w:w="110"/>
              <w:bottom w:type="dxa" w:w="70"/>
              <w:right w:type="dxa" w:w="110"/>
            </w:tcMar>
          </w:tcPr>
          <w:p>
            <w:r>
              <w:rPr>
                <w:rFonts w:ascii="Calibri" w:cs="Calibri" w:eastAsia="Calibri" w:hAnsi="Calibri"/>
                <w:b w:val="false"/>
                <w:bCs w:val="false"/>
                <w:color w:val="1A1A1A"/>
                <w:sz w:val="19"/>
                <w:szCs w:val="19"/>
              </w:rPr>
              <w:t xml:space="preserve">Neutre</w:t>
            </w:r>
          </w:p>
        </w:tc>
      </w:tr>
      <w:tr>
        <w:tc>
          <w:tcPr>
            <w:tcW w:type="dxa" w:w="800"/>
            <w:shd w:fill="F2F5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V-PRV</w:t>
            </w:r>
          </w:p>
        </w:tc>
        <w:tc>
          <w:tcPr>
            <w:tcW w:type="dxa" w:w="1500"/>
            <w:shd w:fill="F2F5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Provisoire</w:t>
            </w:r>
          </w:p>
        </w:tc>
        <w:tc>
          <w:tcPr>
            <w:tcW w:type="dxa" w:w="2900"/>
            <w:shd w:fill="F2F5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Tout nouvel enregistrement F1/F2 pendant 30 jours</w:t>
            </w:r>
          </w:p>
        </w:tc>
        <w:tc>
          <w:tcPr>
            <w:tcW w:type="dxa" w:w="3400"/>
            <w:shd w:fill="F2F5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Mention « enregistrement récent, fenêtre de contestation en cours »</w:t>
            </w:r>
          </w:p>
        </w:tc>
        <w:tc>
          <w:tcPr>
            <w:tcW w:type="dxa" w:w="1000"/>
            <w:shd w:fill="F2F5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Gris pointillé</w:t>
            </w:r>
          </w:p>
        </w:tc>
      </w:tr>
      <w:tr>
        <w:tc>
          <w:tcPr>
            <w:tcW w:type="dxa" w:w="800"/>
            <w:tcMar>
              <w:top w:type="dxa" w:w="70"/>
              <w:left w:type="dxa" w:w="110"/>
              <w:bottom w:type="dxa" w:w="70"/>
              <w:right w:type="dxa" w:w="110"/>
            </w:tcMar>
          </w:tcPr>
          <w:p>
            <w:r>
              <w:rPr>
                <w:rFonts w:ascii="Calibri" w:cs="Calibri" w:eastAsia="Calibri" w:hAnsi="Calibri"/>
                <w:b w:val="false"/>
                <w:bCs w:val="false"/>
                <w:color w:val="1A1A1A"/>
                <w:sz w:val="19"/>
                <w:szCs w:val="19"/>
              </w:rPr>
              <w:t xml:space="preserve">V-LOC</w:t>
            </w:r>
          </w:p>
        </w:tc>
        <w:tc>
          <w:tcPr>
            <w:tcW w:type="dxa" w:w="1500"/>
            <w:tcMar>
              <w:top w:type="dxa" w:w="70"/>
              <w:left w:type="dxa" w:w="110"/>
              <w:bottom w:type="dxa" w:w="70"/>
              <w:right w:type="dxa" w:w="110"/>
            </w:tcMar>
          </w:tcPr>
          <w:p>
            <w:r>
              <w:rPr>
                <w:rFonts w:ascii="Calibri" w:cs="Calibri" w:eastAsia="Calibri" w:hAnsi="Calibri"/>
                <w:b w:val="false"/>
                <w:bCs w:val="false"/>
                <w:color w:val="1A1A1A"/>
                <w:sz w:val="19"/>
                <w:szCs w:val="19"/>
              </w:rPr>
              <w:t xml:space="preserve">En location</w:t>
            </w:r>
          </w:p>
        </w:tc>
        <w:tc>
          <w:tcPr>
            <w:tcW w:type="dxa" w:w="2900"/>
            <w:tcMar>
              <w:top w:type="dxa" w:w="70"/>
              <w:left w:type="dxa" w:w="110"/>
              <w:bottom w:type="dxa" w:w="70"/>
              <w:right w:type="dxa" w:w="110"/>
            </w:tcMar>
          </w:tcPr>
          <w:p>
            <w:r>
              <w:rPr>
                <w:rFonts w:ascii="Calibri" w:cs="Calibri" w:eastAsia="Calibri" w:hAnsi="Calibri"/>
                <w:b w:val="false"/>
                <w:bCs w:val="false"/>
                <w:color w:val="1A1A1A"/>
                <w:sz w:val="19"/>
                <w:szCs w:val="19"/>
              </w:rPr>
              <w:t xml:space="preserve">Marquage par un compte entreprise loueur</w:t>
            </w:r>
          </w:p>
        </w:tc>
        <w:tc>
          <w:tcPr>
            <w:tcW w:type="dxa" w:w="3400"/>
            <w:tcMar>
              <w:top w:type="dxa" w:w="70"/>
              <w:left w:type="dxa" w:w="110"/>
              <w:bottom w:type="dxa" w:w="70"/>
              <w:right w:type="dxa" w:w="110"/>
            </w:tcMar>
          </w:tcPr>
          <w:p>
            <w:r>
              <w:rPr>
                <w:rFonts w:ascii="Calibri" w:cs="Calibri" w:eastAsia="Calibri" w:hAnsi="Calibri"/>
                <w:b w:val="false"/>
                <w:bCs w:val="false"/>
                <w:color w:val="1A1A1A"/>
                <w:sz w:val="19"/>
                <w:szCs w:val="19"/>
              </w:rPr>
              <w:t xml:space="preserve">Avertissement fort : « Ce bien appartient à une société de location — toute vente est frauduleuse »</w:t>
            </w:r>
          </w:p>
        </w:tc>
        <w:tc>
          <w:tcPr>
            <w:tcW w:type="dxa" w:w="1000"/>
            <w:tcMar>
              <w:top w:type="dxa" w:w="70"/>
              <w:left w:type="dxa" w:w="110"/>
              <w:bottom w:type="dxa" w:w="70"/>
              <w:right w:type="dxa" w:w="110"/>
            </w:tcMar>
          </w:tcPr>
          <w:p>
            <w:r>
              <w:rPr>
                <w:rFonts w:ascii="Calibri" w:cs="Calibri" w:eastAsia="Calibri" w:hAnsi="Calibri"/>
                <w:b w:val="false"/>
                <w:bCs w:val="false"/>
                <w:color w:val="1A1A1A"/>
                <w:sz w:val="19"/>
                <w:szCs w:val="19"/>
              </w:rPr>
              <w:t xml:space="preserve">Ambre</w:t>
            </w:r>
          </w:p>
        </w:tc>
      </w:tr>
      <w:tr>
        <w:tc>
          <w:tcPr>
            <w:tcW w:type="dxa" w:w="800"/>
            <w:shd w:fill="F2F5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V-VTE</w:t>
            </w:r>
          </w:p>
        </w:tc>
        <w:tc>
          <w:tcPr>
            <w:tcW w:type="dxa" w:w="1500"/>
            <w:shd w:fill="F2F5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Vente en cours</w:t>
            </w:r>
          </w:p>
        </w:tc>
        <w:tc>
          <w:tcPr>
            <w:tcW w:type="dxa" w:w="2900"/>
            <w:shd w:fill="F2F5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Transfert initié (double validation en attente)</w:t>
            </w:r>
          </w:p>
        </w:tc>
        <w:tc>
          <w:tcPr>
            <w:tcW w:type="dxa" w:w="3400"/>
            <w:shd w:fill="F2F5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 Transfert en cours entre détenteurs »</w:t>
            </w:r>
          </w:p>
        </w:tc>
        <w:tc>
          <w:tcPr>
            <w:tcW w:type="dxa" w:w="1000"/>
            <w:shd w:fill="F2F5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Bleu</w:t>
            </w:r>
          </w:p>
        </w:tc>
      </w:tr>
      <w:tr>
        <w:tc>
          <w:tcPr>
            <w:tcW w:type="dxa" w:w="800"/>
            <w:tcMar>
              <w:top w:type="dxa" w:w="70"/>
              <w:left w:type="dxa" w:w="110"/>
              <w:bottom w:type="dxa" w:w="70"/>
              <w:right w:type="dxa" w:w="110"/>
            </w:tcMar>
          </w:tcPr>
          <w:p>
            <w:r>
              <w:rPr>
                <w:rFonts w:ascii="Calibri" w:cs="Calibri" w:eastAsia="Calibri" w:hAnsi="Calibri"/>
                <w:b w:val="false"/>
                <w:bCs w:val="false"/>
                <w:color w:val="1A1A1A"/>
                <w:sz w:val="19"/>
                <w:szCs w:val="19"/>
              </w:rPr>
              <w:t xml:space="preserve">V-VOL</w:t>
            </w:r>
          </w:p>
        </w:tc>
        <w:tc>
          <w:tcPr>
            <w:tcW w:type="dxa" w:w="1500"/>
            <w:tcMar>
              <w:top w:type="dxa" w:w="70"/>
              <w:left w:type="dxa" w:w="110"/>
              <w:bottom w:type="dxa" w:w="70"/>
              <w:right w:type="dxa" w:w="110"/>
            </w:tcMar>
          </w:tcPr>
          <w:p>
            <w:r>
              <w:rPr>
                <w:rFonts w:ascii="Calibri" w:cs="Calibri" w:eastAsia="Calibri" w:hAnsi="Calibri"/>
                <w:b w:val="false"/>
                <w:bCs w:val="false"/>
                <w:color w:val="1A1A1A"/>
                <w:sz w:val="19"/>
                <w:szCs w:val="19"/>
              </w:rPr>
              <w:t xml:space="preserve">Volé déclaré</w:t>
            </w:r>
          </w:p>
        </w:tc>
        <w:tc>
          <w:tcPr>
            <w:tcW w:type="dxa" w:w="2900"/>
            <w:tcMar>
              <w:top w:type="dxa" w:w="70"/>
              <w:left w:type="dxa" w:w="110"/>
              <w:bottom w:type="dxa" w:w="70"/>
              <w:right w:type="dxa" w:w="110"/>
            </w:tcMar>
          </w:tcPr>
          <w:p>
            <w:r>
              <w:rPr>
                <w:rFonts w:ascii="Calibri" w:cs="Calibri" w:eastAsia="Calibri" w:hAnsi="Calibri"/>
                <w:b w:val="false"/>
                <w:bCs w:val="false"/>
                <w:color w:val="1A1A1A"/>
                <w:sz w:val="19"/>
                <w:szCs w:val="19"/>
              </w:rPr>
              <w:t xml:space="preserve">Déclaration de vol par le détenteur ; consolidé par récépissé de plainte</w:t>
            </w:r>
          </w:p>
        </w:tc>
        <w:tc>
          <w:tcPr>
            <w:tcW w:type="dxa" w:w="3400"/>
            <w:tcMar>
              <w:top w:type="dxa" w:w="70"/>
              <w:left w:type="dxa" w:w="110"/>
              <w:bottom w:type="dxa" w:w="70"/>
              <w:right w:type="dxa" w:w="110"/>
            </w:tcMar>
          </w:tcPr>
          <w:p>
            <w:r>
              <w:rPr>
                <w:rFonts w:ascii="Calibri" w:cs="Calibri" w:eastAsia="Calibri" w:hAnsi="Calibri"/>
                <w:b w:val="false"/>
                <w:bCs w:val="false"/>
                <w:color w:val="1A1A1A"/>
                <w:sz w:val="19"/>
                <w:szCs w:val="19"/>
              </w:rPr>
              <w:t xml:space="preserve">Avertissement maximal : « Bien déclaré volé — ne pas acheter, signaler »</w:t>
            </w:r>
          </w:p>
        </w:tc>
        <w:tc>
          <w:tcPr>
            <w:tcW w:type="dxa" w:w="1000"/>
            <w:tcMar>
              <w:top w:type="dxa" w:w="70"/>
              <w:left w:type="dxa" w:w="110"/>
              <w:bottom w:type="dxa" w:w="70"/>
              <w:right w:type="dxa" w:w="110"/>
            </w:tcMar>
          </w:tcPr>
          <w:p>
            <w:r>
              <w:rPr>
                <w:rFonts w:ascii="Calibri" w:cs="Calibri" w:eastAsia="Calibri" w:hAnsi="Calibri"/>
                <w:b w:val="false"/>
                <w:bCs w:val="false"/>
                <w:color w:val="1A1A1A"/>
                <w:sz w:val="19"/>
                <w:szCs w:val="19"/>
              </w:rPr>
              <w:t xml:space="preserve">Rouge</w:t>
            </w:r>
          </w:p>
        </w:tc>
      </w:tr>
      <w:tr>
        <w:tc>
          <w:tcPr>
            <w:tcW w:type="dxa" w:w="800"/>
            <w:shd w:fill="F2F5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V-LIT</w:t>
            </w:r>
          </w:p>
        </w:tc>
        <w:tc>
          <w:tcPr>
            <w:tcW w:type="dxa" w:w="1500"/>
            <w:shd w:fill="F2F5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Litige en cours</w:t>
            </w:r>
          </w:p>
        </w:tc>
        <w:tc>
          <w:tcPr>
            <w:tcW w:type="dxa" w:w="2900"/>
            <w:shd w:fill="F2F5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Réclamation jugée recevable</w:t>
            </w:r>
          </w:p>
        </w:tc>
        <w:tc>
          <w:tcPr>
            <w:tcW w:type="dxa" w:w="3400"/>
            <w:shd w:fill="F2F5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 Propriété contestée — transaction fortement déconseillée »</w:t>
            </w:r>
          </w:p>
        </w:tc>
        <w:tc>
          <w:tcPr>
            <w:tcW w:type="dxa" w:w="1000"/>
            <w:shd w:fill="F2F5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Rouge</w:t>
            </w:r>
          </w:p>
        </w:tc>
      </w:tr>
      <w:tr>
        <w:tc>
          <w:tcPr>
            <w:tcW w:type="dxa" w:w="800"/>
            <w:tcMar>
              <w:top w:type="dxa" w:w="70"/>
              <w:left w:type="dxa" w:w="110"/>
              <w:bottom w:type="dxa" w:w="70"/>
              <w:right w:type="dxa" w:w="110"/>
            </w:tcMar>
          </w:tcPr>
          <w:p>
            <w:r>
              <w:rPr>
                <w:rFonts w:ascii="Calibri" w:cs="Calibri" w:eastAsia="Calibri" w:hAnsi="Calibri"/>
                <w:b w:val="false"/>
                <w:bCs w:val="false"/>
                <w:color w:val="1A1A1A"/>
                <w:sz w:val="19"/>
                <w:szCs w:val="19"/>
              </w:rPr>
              <w:t xml:space="preserve">V-FDV</w:t>
            </w:r>
          </w:p>
        </w:tc>
        <w:tc>
          <w:tcPr>
            <w:tcW w:type="dxa" w:w="1500"/>
            <w:tcMar>
              <w:top w:type="dxa" w:w="70"/>
              <w:left w:type="dxa" w:w="110"/>
              <w:bottom w:type="dxa" w:w="70"/>
              <w:right w:type="dxa" w:w="110"/>
            </w:tcMar>
          </w:tcPr>
          <w:p>
            <w:r>
              <w:rPr>
                <w:rFonts w:ascii="Calibri" w:cs="Calibri" w:eastAsia="Calibri" w:hAnsi="Calibri"/>
                <w:b w:val="false"/>
                <w:bCs w:val="false"/>
                <w:color w:val="1A1A1A"/>
                <w:sz w:val="19"/>
                <w:szCs w:val="19"/>
              </w:rPr>
              <w:t xml:space="preserve">Fin de vie</w:t>
            </w:r>
          </w:p>
        </w:tc>
        <w:tc>
          <w:tcPr>
            <w:tcW w:type="dxa" w:w="2900"/>
            <w:tcMar>
              <w:top w:type="dxa" w:w="70"/>
              <w:left w:type="dxa" w:w="110"/>
              <w:bottom w:type="dxa" w:w="70"/>
              <w:right w:type="dxa" w:w="110"/>
            </w:tcMar>
          </w:tcPr>
          <w:p>
            <w:r>
              <w:rPr>
                <w:rFonts w:ascii="Calibri" w:cs="Calibri" w:eastAsia="Calibri" w:hAnsi="Calibri"/>
                <w:b w:val="false"/>
                <w:bCs w:val="false"/>
                <w:color w:val="1A1A1A"/>
                <w:sz w:val="19"/>
                <w:szCs w:val="19"/>
              </w:rPr>
              <w:t xml:space="preserve">Déclaration épave/destruction/perte définitive par le détenteur</w:t>
            </w:r>
          </w:p>
        </w:tc>
        <w:tc>
          <w:tcPr>
            <w:tcW w:type="dxa" w:w="3400"/>
            <w:tcMar>
              <w:top w:type="dxa" w:w="70"/>
              <w:left w:type="dxa" w:w="110"/>
              <w:bottom w:type="dxa" w:w="70"/>
              <w:right w:type="dxa" w:w="110"/>
            </w:tcMar>
          </w:tcPr>
          <w:p>
            <w:r>
              <w:rPr>
                <w:rFonts w:ascii="Calibri" w:cs="Calibri" w:eastAsia="Calibri" w:hAnsi="Calibri"/>
                <w:b w:val="false"/>
                <w:bCs w:val="false"/>
                <w:color w:val="1A1A1A"/>
                <w:sz w:val="19"/>
                <w:szCs w:val="19"/>
              </w:rPr>
              <w:t xml:space="preserve">« Bien déclaré hors d'usage »</w:t>
            </w:r>
          </w:p>
        </w:tc>
        <w:tc>
          <w:tcPr>
            <w:tcW w:type="dxa" w:w="1000"/>
            <w:tcMar>
              <w:top w:type="dxa" w:w="70"/>
              <w:left w:type="dxa" w:w="110"/>
              <w:bottom w:type="dxa" w:w="70"/>
              <w:right w:type="dxa" w:w="110"/>
            </w:tcMar>
          </w:tcPr>
          <w:p>
            <w:r>
              <w:rPr>
                <w:rFonts w:ascii="Calibri" w:cs="Calibri" w:eastAsia="Calibri" w:hAnsi="Calibri"/>
                <w:b w:val="false"/>
                <w:bCs w:val="false"/>
                <w:color w:val="1A1A1A"/>
                <w:sz w:val="19"/>
                <w:szCs w:val="19"/>
              </w:rPr>
              <w:t xml:space="preserve">Gris</w:t>
            </w:r>
          </w:p>
        </w:tc>
      </w:tr>
    </w:tbl>
    <w:p>
      <w:pPr>
        <w:pStyle w:val="Heading2"/>
        <w:spacing w:after="140" w:before="280"/>
      </w:pPr>
      <w:r>
        <w:rPr>
          <w:rFonts w:ascii="Calibri" w:cs="Calibri" w:eastAsia="Calibri" w:hAnsi="Calibri"/>
          <w:b/>
          <w:bCs/>
          <w:color w:val="D97706"/>
          <w:sz w:val="26"/>
          <w:szCs w:val="26"/>
        </w:rPr>
        <w:t xml:space="preserve">3.3 Transitions autorisées</w:t>
      </w:r>
    </w:p>
    <w:p>
      <w:pPr>
        <w:pStyle w:val="ListParagraph"/>
        <w:numPr>
          <w:ilvl w:val="0"/>
          <w:numId w:val="2"/>
        </w:numPr>
        <w:spacing w:after="90" w:line="260"/>
      </w:pPr>
      <w:r>
        <w:rPr>
          <w:rFonts w:ascii="Calibri" w:cs="Calibri" w:eastAsia="Calibri" w:hAnsi="Calibri"/>
          <w:b w:val="false"/>
          <w:bCs w:val="false"/>
          <w:sz w:val="22"/>
          <w:szCs w:val="22"/>
        </w:rPr>
        <w:t xml:space="preserve">V-PRV → V-ACT : automatique à J+30 sans réclamation recevable.</w:t>
      </w:r>
    </w:p>
    <w:p>
      <w:pPr>
        <w:pStyle w:val="ListParagraph"/>
        <w:numPr>
          <w:ilvl w:val="0"/>
          <w:numId w:val="2"/>
        </w:numPr>
        <w:spacing w:after="90" w:line="260"/>
      </w:pPr>
      <w:r>
        <w:rPr>
          <w:rFonts w:ascii="Calibri" w:cs="Calibri" w:eastAsia="Calibri" w:hAnsi="Calibri"/>
          <w:b w:val="false"/>
          <w:bCs w:val="false"/>
          <w:sz w:val="22"/>
          <w:szCs w:val="22"/>
        </w:rPr>
        <w:t xml:space="preserve">V-ACT/V-PRV/V-LOC → V-LIT : uniquement par recevabilité d'une réclamation (jamais manuellement).</w:t>
      </w:r>
    </w:p>
    <w:p>
      <w:pPr>
        <w:pStyle w:val="ListParagraph"/>
        <w:numPr>
          <w:ilvl w:val="0"/>
          <w:numId w:val="2"/>
        </w:numPr>
        <w:spacing w:after="90" w:line="260"/>
      </w:pPr>
      <w:r>
        <w:rPr>
          <w:rFonts w:ascii="Calibri" w:cs="Calibri" w:eastAsia="Calibri" w:hAnsi="Calibri"/>
          <w:b w:val="false"/>
          <w:bCs w:val="false"/>
          <w:sz w:val="22"/>
          <w:szCs w:val="22"/>
        </w:rPr>
        <w:t xml:space="preserve">V-LIT → V-ACT (détenteur maintenu), V-LIT → transfert forcé (réclamant), ou V-LIT maintenu (« non tranché ») : uniquement par décision d'arbitrage motivée.</w:t>
      </w:r>
    </w:p>
    <w:p>
      <w:pPr>
        <w:pStyle w:val="ListParagraph"/>
        <w:numPr>
          <w:ilvl w:val="0"/>
          <w:numId w:val="2"/>
        </w:numPr>
        <w:spacing w:after="90" w:line="260"/>
      </w:pPr>
      <w:r>
        <w:rPr>
          <w:rFonts w:ascii="Calibri" w:cs="Calibri" w:eastAsia="Calibri" w:hAnsi="Calibri"/>
          <w:b w:val="false"/>
          <w:bCs w:val="false"/>
          <w:sz w:val="22"/>
          <w:szCs w:val="22"/>
        </w:rPr>
        <w:t xml:space="preserve">V-VOL : posable par le détenteur à tout moment ; levée uniquement par le même détenteur + confirmation OTP, journalisée.</w:t>
      </w:r>
    </w:p>
    <w:p>
      <w:pPr>
        <w:pStyle w:val="ListParagraph"/>
        <w:numPr>
          <w:ilvl w:val="0"/>
          <w:numId w:val="2"/>
        </w:numPr>
        <w:spacing w:after="90" w:line="260"/>
      </w:pPr>
      <w:r>
        <w:rPr>
          <w:rFonts w:ascii="Calibri" w:cs="Calibri" w:eastAsia="Calibri" w:hAnsi="Calibri"/>
          <w:b w:val="false"/>
          <w:bCs w:val="false"/>
          <w:sz w:val="22"/>
          <w:szCs w:val="22"/>
        </w:rPr>
        <w:t xml:space="preserve">V-VTE → V-ACT (nouveau détenteur) : uniquement après double validation + OTP des deux parties ; expiration à 7 jours sinon retour à l'état antérieur.</w:t>
      </w:r>
    </w:p>
    <w:p>
      <w:pPr>
        <w:pStyle w:val="ListParagraph"/>
        <w:numPr>
          <w:ilvl w:val="0"/>
          <w:numId w:val="2"/>
        </w:numPr>
        <w:spacing w:after="90" w:line="260"/>
      </w:pPr>
      <w:r>
        <w:rPr>
          <w:rFonts w:ascii="Calibri" w:cs="Calibri" w:eastAsia="Calibri" w:hAnsi="Calibri"/>
          <w:b w:val="false"/>
          <w:bCs w:val="false"/>
          <w:sz w:val="22"/>
          <w:szCs w:val="22"/>
        </w:rPr>
        <w:t xml:space="preserve">Toute transition est journalisée avec horodatage et hash chaîné (cf. §7.4).</w:t>
      </w:r>
    </w:p>
    <w:p>
      <w:pPr>
        <w:pStyle w:val="Heading1"/>
        <w:spacing w:after="180" w:before="360"/>
      </w:pPr>
      <w:r>
        <w:rPr>
          <w:rFonts w:ascii="Calibri" w:cs="Calibri" w:eastAsia="Calibri" w:hAnsi="Calibri"/>
          <w:b/>
          <w:bCs/>
          <w:color w:val="0B2545"/>
          <w:sz w:val="32"/>
          <w:szCs w:val="32"/>
        </w:rPr>
        <w:t xml:space="preserve">4. Workflows détaillés</w:t>
      </w:r>
    </w:p>
    <w:p>
      <w:pPr>
        <w:pStyle w:val="Heading2"/>
        <w:spacing w:after="140" w:before="280"/>
      </w:pPr>
      <w:r>
        <w:rPr>
          <w:rFonts w:ascii="Calibri" w:cs="Calibri" w:eastAsia="Calibri" w:hAnsi="Calibri"/>
          <w:b/>
          <w:bCs/>
          <w:color w:val="D97706"/>
          <w:sz w:val="26"/>
          <w:szCs w:val="26"/>
        </w:rPr>
        <w:t xml:space="preserve">4.1 Consultation 2 clics (sans compte)</w:t>
      </w:r>
    </w:p>
    <w:p>
      <w:pPr>
        <w:pStyle w:val="ListParagraph"/>
        <w:numPr>
          <w:ilvl w:val="0"/>
          <w:numId w:val="2"/>
        </w:numPr>
        <w:spacing w:after="90" w:line="260"/>
      </w:pPr>
      <w:r>
        <w:rPr>
          <w:rFonts w:ascii="Calibri" w:cs="Calibri" w:eastAsia="Calibri" w:hAnsi="Calibri"/>
          <w:b/>
          <w:bCs/>
          <w:sz w:val="22"/>
          <w:szCs w:val="22"/>
        </w:rPr>
        <w:t xml:space="preserve">Écran d'accueil = un unique champ de recherche + bouton scan. Aucun autre élément prioritaire.</w:t>
      </w:r>
    </w:p>
    <w:p>
      <w:pPr>
        <w:pStyle w:val="ListParagraph"/>
        <w:numPr>
          <w:ilvl w:val="0"/>
          <w:numId w:val="2"/>
        </w:numPr>
        <w:spacing w:after="90" w:line="260"/>
      </w:pPr>
      <w:r>
        <w:rPr>
          <w:rFonts w:ascii="Calibri" w:cs="Calibri" w:eastAsia="Calibri" w:hAnsi="Calibri"/>
          <w:b w:val="false"/>
          <w:bCs w:val="false"/>
          <w:sz w:val="22"/>
          <w:szCs w:val="22"/>
        </w:rPr>
        <w:t xml:space="preserve">Entrées acceptées : numéro de châssis (VIN), plaque d'immatriculation, IMEI, numéro de série, numéro de lot. Détection automatique du type d'identifiant (pas de sélecteur préalable).</w:t>
      </w:r>
    </w:p>
    <w:p>
      <w:pPr>
        <w:pStyle w:val="ListParagraph"/>
        <w:numPr>
          <w:ilvl w:val="0"/>
          <w:numId w:val="2"/>
        </w:numPr>
        <w:spacing w:after="90" w:line="260"/>
      </w:pPr>
      <w:r>
        <w:rPr>
          <w:rFonts w:ascii="Calibri" w:cs="Calibri" w:eastAsia="Calibri" w:hAnsi="Calibri"/>
          <w:b w:val="false"/>
          <w:bCs w:val="false"/>
          <w:sz w:val="22"/>
          <w:szCs w:val="22"/>
        </w:rPr>
        <w:t xml:space="preserve">Résultat en &lt; 1 seconde : verdict visuel plein écran (couleur + stamp de statut), niveau de fiabilité, ancienneté de l'enregistrement, ancienneté du compte déclarant. Jamais l'identité du déclarant.</w:t>
      </w:r>
    </w:p>
    <w:p>
      <w:pPr>
        <w:pStyle w:val="ListParagraph"/>
        <w:numPr>
          <w:ilvl w:val="0"/>
          <w:numId w:val="2"/>
        </w:numPr>
        <w:spacing w:after="90" w:line="260"/>
      </w:pPr>
      <w:r>
        <w:rPr>
          <w:rFonts w:ascii="Calibri" w:cs="Calibri" w:eastAsia="Calibri" w:hAnsi="Calibri"/>
          <w:b w:val="false"/>
          <w:bCs w:val="false"/>
          <w:sz w:val="22"/>
          <w:szCs w:val="22"/>
        </w:rPr>
        <w:t xml:space="preserve">Identifiant inconnu : message clair « Aucun enregistrement pour cet identifiant » + explication de ce que cela signifie (ni bon ni mauvais signe) + CTA « Enregistrer ce bien ».</w:t>
      </w:r>
    </w:p>
    <w:p>
      <w:pPr>
        <w:pStyle w:val="ListParagraph"/>
        <w:numPr>
          <w:ilvl w:val="0"/>
          <w:numId w:val="2"/>
        </w:numPr>
        <w:spacing w:after="90" w:line="260"/>
      </w:pPr>
      <w:r>
        <w:rPr>
          <w:rFonts w:ascii="Calibri" w:cs="Calibri" w:eastAsia="Calibri" w:hAnsi="Calibri"/>
          <w:b w:val="false"/>
          <w:bCs w:val="false"/>
          <w:sz w:val="22"/>
          <w:szCs w:val="22"/>
        </w:rPr>
        <w:t xml:space="preserve">Depuis le résultat : CTA « Rapport détaillé » (payant, à l'acte) et « Signaler / Réclamer » (nécessite compte + KYC).</w:t>
      </w:r>
    </w:p>
    <w:p>
      <w:pPr>
        <w:pStyle w:val="ListParagraph"/>
        <w:numPr>
          <w:ilvl w:val="0"/>
          <w:numId w:val="2"/>
        </w:numPr>
        <w:spacing w:after="90" w:line="260"/>
      </w:pPr>
      <w:r>
        <w:rPr>
          <w:rFonts w:ascii="Calibri" w:cs="Calibri" w:eastAsia="Calibri" w:hAnsi="Calibri"/>
          <w:b w:val="false"/>
          <w:bCs w:val="false"/>
          <w:sz w:val="22"/>
          <w:szCs w:val="22"/>
        </w:rPr>
        <w:t xml:space="preserve">Limitation de débit : 10 consultations/heure par IP non authentifiée ; CAPTCHA au-delà (anti-profilage de masse).</w:t>
      </w:r>
    </w:p>
    <w:p>
      <w:pPr>
        <w:pStyle w:val="Heading2"/>
        <w:spacing w:after="140" w:before="280"/>
      </w:pPr>
      <w:r>
        <w:rPr>
          <w:rFonts w:ascii="Calibri" w:cs="Calibri" w:eastAsia="Calibri" w:hAnsi="Calibri"/>
          <w:b/>
          <w:bCs/>
          <w:color w:val="D97706"/>
          <w:sz w:val="26"/>
          <w:szCs w:val="26"/>
        </w:rPr>
        <w:t xml:space="preserve">4.2 Enregistrement express (&lt; 90 secondes)</w:t>
      </w:r>
    </w:p>
    <w:p>
      <w:pPr>
        <w:spacing w:after="130" w:line="270"/>
        <w:jc w:val="both"/>
      </w:pPr>
      <w:r>
        <w:rPr>
          <w:rFonts w:ascii="Calibri" w:cs="Calibri" w:eastAsia="Calibri" w:hAnsi="Calibri"/>
          <w:b w:val="false"/>
          <w:bCs w:val="false"/>
          <w:i w:val="false"/>
          <w:iCs w:val="false"/>
          <w:color w:val="1A1A1A"/>
          <w:sz w:val="22"/>
          <w:szCs w:val="22"/>
        </w:rPr>
        <w:t xml:space="preserve">Formulaire en une seule vue progressive, 4 gestes :</w:t>
      </w:r>
    </w:p>
    <w:p>
      <w:pPr>
        <w:pStyle w:val="ListParagraph"/>
        <w:numPr>
          <w:ilvl w:val="0"/>
          <w:numId w:val="2"/>
        </w:numPr>
        <w:spacing w:after="90" w:line="260"/>
      </w:pPr>
      <w:r>
        <w:rPr>
          <w:rFonts w:ascii="Calibri" w:cs="Calibri" w:eastAsia="Calibri" w:hAnsi="Calibri"/>
          <w:b w:val="false"/>
          <w:bCs w:val="false"/>
          <w:sz w:val="22"/>
          <w:szCs w:val="22"/>
        </w:rPr>
        <w:t xml:space="preserve">Geste 1 — Type de bien : 4 grandes tuiles (Véhicule, Moto, Téléphone, Terrain*). *Terrain grisé « bientôt » au MVP.</w:t>
      </w:r>
    </w:p>
    <w:p>
      <w:pPr>
        <w:pStyle w:val="ListParagraph"/>
        <w:numPr>
          <w:ilvl w:val="0"/>
          <w:numId w:val="2"/>
        </w:numPr>
        <w:spacing w:after="90" w:line="260"/>
      </w:pPr>
      <w:r>
        <w:rPr>
          <w:rFonts w:ascii="Calibri" w:cs="Calibri" w:eastAsia="Calibri" w:hAnsi="Calibri"/>
          <w:b w:val="false"/>
          <w:bCs w:val="false"/>
          <w:sz w:val="22"/>
          <w:szCs w:val="22"/>
        </w:rPr>
        <w:t xml:space="preserve">Geste 2 — Identifiant : scan prioritaire (OCR carte grise / code-barres châssis / *#06# pour IMEI) avec pré-remplissage ; saisie manuelle en repli. Contrôle d'unicité immédiat : si l'identifiant existe déjà, redirection vers la consultation + parcours réclamation.</w:t>
      </w:r>
    </w:p>
    <w:p>
      <w:pPr>
        <w:pStyle w:val="ListParagraph"/>
        <w:numPr>
          <w:ilvl w:val="0"/>
          <w:numId w:val="2"/>
        </w:numPr>
        <w:spacing w:after="90" w:line="260"/>
      </w:pPr>
      <w:r>
        <w:rPr>
          <w:rFonts w:ascii="Calibri" w:cs="Calibri" w:eastAsia="Calibri" w:hAnsi="Calibri"/>
          <w:b w:val="false"/>
          <w:bCs w:val="false"/>
          <w:sz w:val="22"/>
          <w:szCs w:val="22"/>
        </w:rPr>
        <w:t xml:space="preserve">Geste 3 — Photos : 1 à 3 photos du bien (upload différé en arrière-plan).</w:t>
      </w:r>
    </w:p>
    <w:p>
      <w:pPr>
        <w:pStyle w:val="ListParagraph"/>
        <w:numPr>
          <w:ilvl w:val="0"/>
          <w:numId w:val="2"/>
        </w:numPr>
        <w:spacing w:after="90" w:line="260"/>
      </w:pPr>
      <w:r>
        <w:rPr>
          <w:rFonts w:ascii="Calibri" w:cs="Calibri" w:eastAsia="Calibri" w:hAnsi="Calibri"/>
          <w:b w:val="false"/>
          <w:bCs w:val="false"/>
          <w:sz w:val="22"/>
          <w:szCs w:val="22"/>
        </w:rPr>
        <w:t xml:space="preserve">Geste 4 — Envoi : le bien est créé en F1/V-PRV. Écran de confirmation avec score affiché et proposition claire mais non bloquante : « Renforcez votre preuve » (ajouter facture → F2, compléter KYC).</w:t>
      </w:r>
    </w:p>
    <w:p>
      <w:pPr>
        <w:pStyle w:val="ListParagraph"/>
        <w:numPr>
          <w:ilvl w:val="0"/>
          <w:numId w:val="2"/>
        </w:numPr>
        <w:spacing w:after="90" w:line="260"/>
      </w:pPr>
      <w:r>
        <w:rPr>
          <w:rFonts w:ascii="Calibri" w:cs="Calibri" w:eastAsia="Calibri" w:hAnsi="Calibri"/>
          <w:b/>
          <w:bCs/>
          <w:sz w:val="22"/>
          <w:szCs w:val="22"/>
        </w:rPr>
        <w:t xml:space="preserve">Le KYC n'est JAMAIS exigé pour un enregistrement F1. Il est exigé pour F2, réclamation, transfert et statut loueur.</w:t>
      </w:r>
    </w:p>
    <w:p>
      <w:pPr>
        <w:pStyle w:val="Heading2"/>
        <w:spacing w:after="140" w:before="280"/>
      </w:pPr>
      <w:r>
        <w:rPr>
          <w:rFonts w:ascii="Calibri" w:cs="Calibri" w:eastAsia="Calibri" w:hAnsi="Calibri"/>
          <w:b/>
          <w:bCs/>
          <w:color w:val="D97706"/>
          <w:sz w:val="26"/>
          <w:szCs w:val="26"/>
        </w:rPr>
        <w:t xml:space="preserve">4.3 Déclaration de vol (un geste)</w:t>
      </w:r>
    </w:p>
    <w:p>
      <w:pPr>
        <w:pStyle w:val="ListParagraph"/>
        <w:numPr>
          <w:ilvl w:val="0"/>
          <w:numId w:val="2"/>
        </w:numPr>
        <w:spacing w:after="90" w:line="260"/>
      </w:pPr>
      <w:r>
        <w:rPr>
          <w:rFonts w:ascii="Calibri" w:cs="Calibri" w:eastAsia="Calibri" w:hAnsi="Calibri"/>
          <w:b w:val="false"/>
          <w:bCs w:val="false"/>
          <w:sz w:val="22"/>
          <w:szCs w:val="22"/>
        </w:rPr>
        <w:t xml:space="preserve">Depuis « Mes biens » : bouton « Déclarer volé » → confirmation OTP → statut V-VOL immédiat et public.</w:t>
      </w:r>
    </w:p>
    <w:p>
      <w:pPr>
        <w:pStyle w:val="ListParagraph"/>
        <w:numPr>
          <w:ilvl w:val="0"/>
          <w:numId w:val="2"/>
        </w:numPr>
        <w:spacing w:after="90" w:line="260"/>
      </w:pPr>
      <w:r>
        <w:rPr>
          <w:rFonts w:ascii="Calibri" w:cs="Calibri" w:eastAsia="Calibri" w:hAnsi="Calibri"/>
          <w:b w:val="false"/>
          <w:bCs w:val="false"/>
          <w:sz w:val="22"/>
          <w:szCs w:val="22"/>
        </w:rPr>
        <w:t xml:space="preserve">Consolidation différée : upload du récépissé de plainte sous 15 jours ; sans récépissé, le statut reste V-VOL mais est affiché « déclaration non consolidée ».</w:t>
      </w:r>
    </w:p>
    <w:p>
      <w:pPr>
        <w:pStyle w:val="Heading2"/>
        <w:spacing w:after="140" w:before="280"/>
      </w:pPr>
      <w:r>
        <w:rPr>
          <w:rFonts w:ascii="Calibri" w:cs="Calibri" w:eastAsia="Calibri" w:hAnsi="Calibri"/>
          <w:b/>
          <w:bCs/>
          <w:color w:val="D97706"/>
          <w:sz w:val="26"/>
          <w:szCs w:val="26"/>
        </w:rPr>
        <w:t xml:space="preserve">4.4 Transfert de propriété (double validation)</w:t>
      </w:r>
    </w:p>
    <w:p>
      <w:pPr>
        <w:pStyle w:val="ListParagraph"/>
        <w:numPr>
          <w:ilvl w:val="0"/>
          <w:numId w:val="2"/>
        </w:numPr>
        <w:spacing w:after="90" w:line="260"/>
      </w:pPr>
      <w:r>
        <w:rPr>
          <w:rFonts w:ascii="Calibri" w:cs="Calibri" w:eastAsia="Calibri" w:hAnsi="Calibri"/>
          <w:b w:val="false"/>
          <w:bCs w:val="false"/>
          <w:sz w:val="22"/>
          <w:szCs w:val="22"/>
        </w:rPr>
        <w:t xml:space="preserve">Le détenteur initie : identifiant du bien + numéro de téléphone de l'acheteur → statut V-VTE.</w:t>
      </w:r>
    </w:p>
    <w:p>
      <w:pPr>
        <w:pStyle w:val="ListParagraph"/>
        <w:numPr>
          <w:ilvl w:val="0"/>
          <w:numId w:val="2"/>
        </w:numPr>
        <w:spacing w:after="90" w:line="260"/>
      </w:pPr>
      <w:r>
        <w:rPr>
          <w:rFonts w:ascii="Calibri" w:cs="Calibri" w:eastAsia="Calibri" w:hAnsi="Calibri"/>
          <w:b w:val="false"/>
          <w:bCs w:val="false"/>
          <w:sz w:val="22"/>
          <w:szCs w:val="22"/>
        </w:rPr>
        <w:t xml:space="preserve">L'acheteur reçoit une invitation, crée/complète son compte (KYC requis), vérifie le bien et confirme.</w:t>
      </w:r>
    </w:p>
    <w:p>
      <w:pPr>
        <w:pStyle w:val="ListParagraph"/>
        <w:numPr>
          <w:ilvl w:val="0"/>
          <w:numId w:val="2"/>
        </w:numPr>
        <w:spacing w:after="90" w:line="260"/>
      </w:pPr>
      <w:r>
        <w:rPr>
          <w:rFonts w:ascii="Calibri" w:cs="Calibri" w:eastAsia="Calibri" w:hAnsi="Calibri"/>
          <w:b w:val="false"/>
          <w:bCs w:val="false"/>
          <w:sz w:val="22"/>
          <w:szCs w:val="22"/>
        </w:rPr>
        <w:t xml:space="preserve">Double OTP simultané (vendeur + acheteur) pour finaliser. Historique complet de la chaîne des détenteurs conservé et visible dans le rapport détaillé.</w:t>
      </w:r>
    </w:p>
    <w:p>
      <w:pPr>
        <w:pStyle w:val="ListParagraph"/>
        <w:numPr>
          <w:ilvl w:val="0"/>
          <w:numId w:val="2"/>
        </w:numPr>
        <w:spacing w:after="90" w:line="260"/>
      </w:pPr>
      <w:r>
        <w:rPr>
          <w:rFonts w:ascii="Calibri" w:cs="Calibri" w:eastAsia="Calibri" w:hAnsi="Calibri"/>
          <w:b w:val="false"/>
          <w:bCs w:val="false"/>
          <w:sz w:val="22"/>
          <w:szCs w:val="22"/>
        </w:rPr>
        <w:t xml:space="preserve">Expiration à 7 jours ; annulation possible par le vendeur tant que l'acheteur n'a pas confirmé.</w:t>
      </w:r>
    </w:p>
    <w:p>
      <w:pPr>
        <w:pStyle w:val="Heading2"/>
        <w:spacing w:after="140" w:before="280"/>
      </w:pPr>
      <w:r>
        <w:rPr>
          <w:rFonts w:ascii="Calibri" w:cs="Calibri" w:eastAsia="Calibri" w:hAnsi="Calibri"/>
          <w:b/>
          <w:bCs/>
          <w:color w:val="D97706"/>
          <w:sz w:val="26"/>
          <w:szCs w:val="26"/>
        </w:rPr>
        <w:t xml:space="preserve">4.5 Réclamation et arbitrage</w:t>
      </w:r>
    </w:p>
    <w:p>
      <w:pPr>
        <w:pStyle w:val="ListParagraph"/>
        <w:numPr>
          <w:ilvl w:val="0"/>
          <w:numId w:val="2"/>
        </w:numPr>
        <w:spacing w:after="90" w:line="260"/>
      </w:pPr>
      <w:r>
        <w:rPr>
          <w:rFonts w:ascii="Calibri" w:cs="Calibri" w:eastAsia="Calibri" w:hAnsi="Calibri"/>
          <w:b w:val="false"/>
          <w:bCs w:val="false"/>
          <w:sz w:val="22"/>
          <w:szCs w:val="22"/>
        </w:rPr>
        <w:t xml:space="preserve">Dépôt : compte KYC complet obligatoire + formulaire guidé + upload des preuves + frais de dossier (2 000 FCFA particulier / 5 000 FCFA entreprise, remboursés si la réclamation aboutit).</w:t>
      </w:r>
    </w:p>
    <w:p>
      <w:pPr>
        <w:pStyle w:val="ListParagraph"/>
        <w:numPr>
          <w:ilvl w:val="0"/>
          <w:numId w:val="2"/>
        </w:numPr>
        <w:spacing w:after="90" w:line="260"/>
      </w:pPr>
      <w:r>
        <w:rPr>
          <w:rFonts w:ascii="Calibri" w:cs="Calibri" w:eastAsia="Calibri" w:hAnsi="Calibri"/>
          <w:b w:val="false"/>
          <w:bCs w:val="false"/>
          <w:sz w:val="22"/>
          <w:szCs w:val="22"/>
        </w:rPr>
        <w:t xml:space="preserve">Recevabilité automatique sous conditions minimales (≥ 1 justificatif nominatif OU récépissé de plainte) ; sinon revue manuelle sous 48 h.</w:t>
      </w:r>
    </w:p>
    <w:p>
      <w:pPr>
        <w:pStyle w:val="ListParagraph"/>
        <w:numPr>
          <w:ilvl w:val="0"/>
          <w:numId w:val="2"/>
        </w:numPr>
        <w:spacing w:after="90" w:line="260"/>
      </w:pPr>
      <w:r>
        <w:rPr>
          <w:rFonts w:ascii="Calibri" w:cs="Calibri" w:eastAsia="Calibri" w:hAnsi="Calibri"/>
          <w:b w:val="false"/>
          <w:bCs w:val="false"/>
          <w:sz w:val="22"/>
          <w:szCs w:val="22"/>
        </w:rPr>
        <w:t xml:space="preserve">Dès recevabilité : bien gelé en V-LIT, notification à l'enregistrant actuel, délai contradictoire de 15 jours.</w:t>
      </w:r>
    </w:p>
    <w:p>
      <w:pPr>
        <w:pStyle w:val="ListParagraph"/>
        <w:numPr>
          <w:ilvl w:val="0"/>
          <w:numId w:val="2"/>
        </w:numPr>
        <w:spacing w:after="90" w:line="260"/>
      </w:pPr>
      <w:r>
        <w:rPr>
          <w:rFonts w:ascii="Calibri" w:cs="Calibri" w:eastAsia="Calibri" w:hAnsi="Calibri"/>
          <w:b w:val="false"/>
          <w:bCs w:val="false"/>
          <w:sz w:val="22"/>
          <w:szCs w:val="22"/>
        </w:rPr>
        <w:t xml:space="preserve">Instruction par agent selon la grille §5.2 ; décision motivée notifiée aux deux parties ; issue « non tranché » assumée avec renvoi justice + export PDF horodaté du dossier.</w:t>
      </w:r>
    </w:p>
    <w:p>
      <w:pPr>
        <w:pStyle w:val="ListParagraph"/>
        <w:numPr>
          <w:ilvl w:val="0"/>
          <w:numId w:val="2"/>
        </w:numPr>
        <w:spacing w:after="90" w:line="260"/>
      </w:pPr>
      <w:r>
        <w:rPr>
          <w:rFonts w:ascii="Calibri" w:cs="Calibri" w:eastAsia="Calibri" w:hAnsi="Calibri"/>
          <w:b w:val="false"/>
          <w:bCs w:val="false"/>
          <w:sz w:val="22"/>
          <w:szCs w:val="22"/>
        </w:rPr>
        <w:t xml:space="preserve">Appel interne unique possible sous 15 jours (revue par un second agent senior).</w:t>
      </w:r>
    </w:p>
    <w:p>
      <w:pPr>
        <w:pStyle w:val="Heading1"/>
        <w:spacing w:after="180" w:before="360"/>
      </w:pPr>
      <w:r>
        <w:rPr>
          <w:rFonts w:ascii="Calibri" w:cs="Calibri" w:eastAsia="Calibri" w:hAnsi="Calibri"/>
          <w:b/>
          <w:bCs/>
          <w:color w:val="0B2545"/>
          <w:sz w:val="32"/>
          <w:szCs w:val="32"/>
        </w:rPr>
        <w:t xml:space="preserve">5. Règles métier</w:t>
      </w:r>
    </w:p>
    <w:p>
      <w:pPr>
        <w:pStyle w:val="Heading2"/>
        <w:spacing w:after="140" w:before="280"/>
      </w:pPr>
      <w:r>
        <w:rPr>
          <w:rFonts w:ascii="Calibri" w:cs="Calibri" w:eastAsia="Calibri" w:hAnsi="Calibri"/>
          <w:b/>
          <w:bCs/>
          <w:color w:val="D97706"/>
          <w:sz w:val="26"/>
          <w:szCs w:val="26"/>
        </w:rPr>
        <w:t xml:space="preserve">5.1 Unicité et normalisation des identifiants</w:t>
      </w:r>
    </w:p>
    <w:p>
      <w:pPr>
        <w:pStyle w:val="ListParagraph"/>
        <w:numPr>
          <w:ilvl w:val="0"/>
          <w:numId w:val="2"/>
        </w:numPr>
        <w:spacing w:after="90" w:line="260"/>
      </w:pPr>
      <w:r>
        <w:rPr>
          <w:rFonts w:ascii="Calibri" w:cs="Calibri" w:eastAsia="Calibri" w:hAnsi="Calibri"/>
          <w:b w:val="false"/>
          <w:bCs w:val="false"/>
          <w:sz w:val="22"/>
          <w:szCs w:val="22"/>
        </w:rPr>
        <w:t xml:space="preserve">Un identifiant actif = un seul enregistrement. Normalisation avant contrôle (majuscules, suppression espaces/tirets, checksum VIN, validation Luhn IMEI).</w:t>
      </w:r>
    </w:p>
    <w:p>
      <w:pPr>
        <w:pStyle w:val="ListParagraph"/>
        <w:numPr>
          <w:ilvl w:val="0"/>
          <w:numId w:val="2"/>
        </w:numPr>
        <w:spacing w:after="90" w:line="260"/>
      </w:pPr>
      <w:r>
        <w:rPr>
          <w:rFonts w:ascii="Calibri" w:cs="Calibri" w:eastAsia="Calibri" w:hAnsi="Calibri"/>
          <w:b w:val="false"/>
          <w:bCs w:val="false"/>
          <w:sz w:val="22"/>
          <w:szCs w:val="22"/>
        </w:rPr>
        <w:t xml:space="preserve">Tentative de doublon : jamais de création ; affichage du statut existant + parcours réclamation. Chaque tentative est journalisée et déclenche une alerte au détenteur actuel (signal anti-fraude fort).</w:t>
      </w:r>
    </w:p>
    <w:p>
      <w:pPr>
        <w:pStyle w:val="Heading2"/>
        <w:spacing w:after="140" w:before="280"/>
      </w:pPr>
      <w:r>
        <w:rPr>
          <w:rFonts w:ascii="Calibri" w:cs="Calibri" w:eastAsia="Calibri" w:hAnsi="Calibri"/>
          <w:b/>
          <w:bCs/>
          <w:color w:val="D97706"/>
          <w:sz w:val="26"/>
          <w:szCs w:val="26"/>
        </w:rPr>
        <w:t xml:space="preserve">5.2 Grille d'arbitrage (pondération indicative)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200"/>
        <w:gridCol w:w="800"/>
        <w:gridCol w:w="3600"/>
      </w:tblGrid>
      <w:tr>
        <w:trPr>
          <w:tblHeader/>
        </w:trPr>
        <w:tc>
          <w:tcPr>
            <w:tcW w:type="dxa" w:w="5200"/>
            <w:shd w:fill="0B2545" w:val="clear"/>
            <w:tcMar>
              <w:top w:type="dxa" w:w="70"/>
              <w:left w:type="dxa" w:w="110"/>
              <w:bottom w:type="dxa" w:w="70"/>
              <w:right w:type="dxa" w:w="110"/>
            </w:tcMar>
          </w:tcPr>
          <w:p>
            <w:r>
              <w:rPr>
                <w:rFonts w:ascii="Calibri" w:cs="Calibri" w:eastAsia="Calibri" w:hAnsi="Calibri"/>
                <w:b/>
                <w:bCs/>
                <w:color w:val="FFFFFF"/>
                <w:sz w:val="19"/>
                <w:szCs w:val="19"/>
              </w:rPr>
              <w:t xml:space="preserve">Élément de preuve</w:t>
            </w:r>
          </w:p>
        </w:tc>
        <w:tc>
          <w:tcPr>
            <w:tcW w:type="dxa" w:w="800"/>
            <w:shd w:fill="0B2545" w:val="clear"/>
            <w:tcMar>
              <w:top w:type="dxa" w:w="70"/>
              <w:left w:type="dxa" w:w="110"/>
              <w:bottom w:type="dxa" w:w="70"/>
              <w:right w:type="dxa" w:w="110"/>
            </w:tcMar>
          </w:tcPr>
          <w:p>
            <w:r>
              <w:rPr>
                <w:rFonts w:ascii="Calibri" w:cs="Calibri" w:eastAsia="Calibri" w:hAnsi="Calibri"/>
                <w:b/>
                <w:bCs/>
                <w:color w:val="FFFFFF"/>
                <w:sz w:val="19"/>
                <w:szCs w:val="19"/>
              </w:rPr>
              <w:t xml:space="preserve">Poids</w:t>
            </w:r>
          </w:p>
        </w:tc>
        <w:tc>
          <w:tcPr>
            <w:tcW w:type="dxa" w:w="3600"/>
            <w:shd w:fill="0B2545" w:val="clear"/>
            <w:tcMar>
              <w:top w:type="dxa" w:w="70"/>
              <w:left w:type="dxa" w:w="110"/>
              <w:bottom w:type="dxa" w:w="70"/>
              <w:right w:type="dxa" w:w="110"/>
            </w:tcMar>
          </w:tcPr>
          <w:p>
            <w:r>
              <w:rPr>
                <w:rFonts w:ascii="Calibri" w:cs="Calibri" w:eastAsia="Calibri" w:hAnsi="Calibri"/>
                <w:b/>
                <w:bCs/>
                <w:color w:val="FFFFFF"/>
                <w:sz w:val="19"/>
                <w:szCs w:val="19"/>
              </w:rPr>
              <w:t xml:space="preserve">Notes</w:t>
            </w:r>
          </w:p>
        </w:tc>
      </w:tr>
      <w:tr>
        <w:tc>
          <w:tcPr>
            <w:tcW w:type="dxa" w:w="5200"/>
            <w:tcMar>
              <w:top w:type="dxa" w:w="70"/>
              <w:left w:type="dxa" w:w="110"/>
              <w:bottom w:type="dxa" w:w="70"/>
              <w:right w:type="dxa" w:w="110"/>
            </w:tcMar>
          </w:tcPr>
          <w:p>
            <w:r>
              <w:rPr>
                <w:rFonts w:ascii="Calibri" w:cs="Calibri" w:eastAsia="Calibri" w:hAnsi="Calibri"/>
                <w:b w:val="false"/>
                <w:bCs w:val="false"/>
                <w:color w:val="1A1A1A"/>
                <w:sz w:val="19"/>
                <w:szCs w:val="19"/>
              </w:rPr>
              <w:t xml:space="preserve">Document officiel nominatif au nom du réclamant (carte grise, ACD)</w:t>
            </w:r>
          </w:p>
        </w:tc>
        <w:tc>
          <w:tcPr>
            <w:tcW w:type="dxa" w:w="800"/>
            <w:tcMar>
              <w:top w:type="dxa" w:w="70"/>
              <w:left w:type="dxa" w:w="110"/>
              <w:bottom w:type="dxa" w:w="70"/>
              <w:right w:type="dxa" w:w="110"/>
            </w:tcMar>
          </w:tcPr>
          <w:p>
            <w:r>
              <w:rPr>
                <w:rFonts w:ascii="Calibri" w:cs="Calibri" w:eastAsia="Calibri" w:hAnsi="Calibri"/>
                <w:b w:val="false"/>
                <w:bCs w:val="false"/>
                <w:color w:val="1A1A1A"/>
                <w:sz w:val="19"/>
                <w:szCs w:val="19"/>
              </w:rPr>
              <w:t xml:space="preserve">40</w:t>
            </w:r>
          </w:p>
        </w:tc>
        <w:tc>
          <w:tcPr>
            <w:tcW w:type="dxa" w:w="3600"/>
            <w:tcMar>
              <w:top w:type="dxa" w:w="70"/>
              <w:left w:type="dxa" w:w="110"/>
              <w:bottom w:type="dxa" w:w="70"/>
              <w:right w:type="dxa" w:w="110"/>
            </w:tcMar>
          </w:tcPr>
          <w:p>
            <w:r>
              <w:rPr>
                <w:rFonts w:ascii="Calibri" w:cs="Calibri" w:eastAsia="Calibri" w:hAnsi="Calibri"/>
                <w:b w:val="false"/>
                <w:bCs w:val="false"/>
                <w:color w:val="1A1A1A"/>
                <w:sz w:val="19"/>
                <w:szCs w:val="19"/>
              </w:rPr>
              <w:t xml:space="preserve">Cohérence identité KYC ↔ document contrôlée</w:t>
            </w:r>
          </w:p>
        </w:tc>
      </w:tr>
      <w:tr>
        <w:tc>
          <w:tcPr>
            <w:tcW w:type="dxa" w:w="5200"/>
            <w:shd w:fill="F2F5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Récépissé de plainte / document judiciaire</w:t>
            </w:r>
          </w:p>
        </w:tc>
        <w:tc>
          <w:tcPr>
            <w:tcW w:type="dxa" w:w="800"/>
            <w:shd w:fill="F2F5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25</w:t>
            </w:r>
          </w:p>
        </w:tc>
        <w:tc>
          <w:tcPr>
            <w:tcW w:type="dxa" w:w="3600"/>
            <w:shd w:fill="F2F5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Daté antérieurement ou immédiatement après le fait contesté</w:t>
            </w:r>
          </w:p>
        </w:tc>
      </w:tr>
      <w:tr>
        <w:tc>
          <w:tcPr>
            <w:tcW w:type="dxa" w:w="5200"/>
            <w:tcMar>
              <w:top w:type="dxa" w:w="70"/>
              <w:left w:type="dxa" w:w="110"/>
              <w:bottom w:type="dxa" w:w="70"/>
              <w:right w:type="dxa" w:w="110"/>
            </w:tcMar>
          </w:tcPr>
          <w:p>
            <w:r>
              <w:rPr>
                <w:rFonts w:ascii="Calibri" w:cs="Calibri" w:eastAsia="Calibri" w:hAnsi="Calibri"/>
                <w:b w:val="false"/>
                <w:bCs w:val="false"/>
                <w:color w:val="1A1A1A"/>
                <w:sz w:val="19"/>
                <w:szCs w:val="19"/>
              </w:rPr>
              <w:t xml:space="preserve">Facture nominative d'achat</w:t>
            </w:r>
          </w:p>
        </w:tc>
        <w:tc>
          <w:tcPr>
            <w:tcW w:type="dxa" w:w="800"/>
            <w:tcMar>
              <w:top w:type="dxa" w:w="70"/>
              <w:left w:type="dxa" w:w="110"/>
              <w:bottom w:type="dxa" w:w="70"/>
              <w:right w:type="dxa" w:w="110"/>
            </w:tcMar>
          </w:tcPr>
          <w:p>
            <w:r>
              <w:rPr>
                <w:rFonts w:ascii="Calibri" w:cs="Calibri" w:eastAsia="Calibri" w:hAnsi="Calibri"/>
                <w:b w:val="false"/>
                <w:bCs w:val="false"/>
                <w:color w:val="1A1A1A"/>
                <w:sz w:val="19"/>
                <w:szCs w:val="19"/>
              </w:rPr>
              <w:t xml:space="preserve">15</w:t>
            </w:r>
          </w:p>
        </w:tc>
        <w:tc>
          <w:tcPr>
            <w:tcW w:type="dxa" w:w="3600"/>
            <w:tcMar>
              <w:top w:type="dxa" w:w="70"/>
              <w:left w:type="dxa" w:w="110"/>
              <w:bottom w:type="dxa" w:w="70"/>
              <w:right w:type="dxa" w:w="110"/>
            </w:tcMar>
          </w:tcPr>
          <w:p>
            <w:r>
              <w:rPr>
                <w:rFonts w:ascii="Calibri" w:cs="Calibri" w:eastAsia="Calibri" w:hAnsi="Calibri"/>
                <w:b w:val="false"/>
                <w:bCs w:val="false"/>
                <w:color w:val="1A1A1A"/>
                <w:sz w:val="19"/>
                <w:szCs w:val="19"/>
              </w:rPr>
              <w:t xml:space="preserve">Vérification de cohérence (vendeur, date, identifiant du bien)</w:t>
            </w:r>
          </w:p>
        </w:tc>
      </w:tr>
      <w:tr>
        <w:tc>
          <w:tcPr>
            <w:tcW w:type="dxa" w:w="5200"/>
            <w:shd w:fill="F2F5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Antériorité documentaire (dates des pièces)</w:t>
            </w:r>
          </w:p>
        </w:tc>
        <w:tc>
          <w:tcPr>
            <w:tcW w:type="dxa" w:w="800"/>
            <w:shd w:fill="F2F5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10</w:t>
            </w:r>
          </w:p>
        </w:tc>
        <w:tc>
          <w:tcPr>
            <w:tcW w:type="dxa" w:w="3600"/>
            <w:shd w:fill="F2F5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Les dates des documents priment sur la date d'enregistrement plateforme</w:t>
            </w:r>
          </w:p>
        </w:tc>
      </w:tr>
      <w:tr>
        <w:tc>
          <w:tcPr>
            <w:tcW w:type="dxa" w:w="5200"/>
            <w:tcMar>
              <w:top w:type="dxa" w:w="70"/>
              <w:left w:type="dxa" w:w="110"/>
              <w:bottom w:type="dxa" w:w="70"/>
              <w:right w:type="dxa" w:w="110"/>
            </w:tcMar>
          </w:tcPr>
          <w:p>
            <w:r>
              <w:rPr>
                <w:rFonts w:ascii="Calibri" w:cs="Calibri" w:eastAsia="Calibri" w:hAnsi="Calibri"/>
                <w:b w:val="false"/>
                <w:bCs w:val="false"/>
                <w:color w:val="1A1A1A"/>
                <w:sz w:val="19"/>
                <w:szCs w:val="19"/>
              </w:rPr>
              <w:t xml:space="preserve">Ancienneté et historique du compte (KYC, comportement)</w:t>
            </w:r>
          </w:p>
        </w:tc>
        <w:tc>
          <w:tcPr>
            <w:tcW w:type="dxa" w:w="800"/>
            <w:tcMar>
              <w:top w:type="dxa" w:w="70"/>
              <w:left w:type="dxa" w:w="110"/>
              <w:bottom w:type="dxa" w:w="70"/>
              <w:right w:type="dxa" w:w="110"/>
            </w:tcMar>
          </w:tcPr>
          <w:p>
            <w:r>
              <w:rPr>
                <w:rFonts w:ascii="Calibri" w:cs="Calibri" w:eastAsia="Calibri" w:hAnsi="Calibri"/>
                <w:b w:val="false"/>
                <w:bCs w:val="false"/>
                <w:color w:val="1A1A1A"/>
                <w:sz w:val="19"/>
                <w:szCs w:val="19"/>
              </w:rPr>
              <w:t xml:space="preserve">5</w:t>
            </w:r>
          </w:p>
        </w:tc>
        <w:tc>
          <w:tcPr>
            <w:tcW w:type="dxa" w:w="3600"/>
            <w:tcMar>
              <w:top w:type="dxa" w:w="70"/>
              <w:left w:type="dxa" w:w="110"/>
              <w:bottom w:type="dxa" w:w="70"/>
              <w:right w:type="dxa" w:w="110"/>
            </w:tcMar>
          </w:tcPr>
          <w:p>
            <w:r>
              <w:rPr>
                <w:rFonts w:ascii="Calibri" w:cs="Calibri" w:eastAsia="Calibri" w:hAnsi="Calibri"/>
                <w:b w:val="false"/>
                <w:bCs w:val="false"/>
                <w:color w:val="1A1A1A"/>
                <w:sz w:val="19"/>
                <w:szCs w:val="19"/>
              </w:rPr>
              <w:t xml:space="preserve">Signal faible, jamais décisif seul</w:t>
            </w:r>
          </w:p>
        </w:tc>
      </w:tr>
      <w:tr>
        <w:tc>
          <w:tcPr>
            <w:tcW w:type="dxa" w:w="5200"/>
            <w:shd w:fill="F2F5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Photos horodatées / éléments contextuels</w:t>
            </w:r>
          </w:p>
        </w:tc>
        <w:tc>
          <w:tcPr>
            <w:tcW w:type="dxa" w:w="800"/>
            <w:shd w:fill="F2F5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5</w:t>
            </w:r>
          </w:p>
        </w:tc>
        <w:tc>
          <w:tcPr>
            <w:tcW w:type="dxa" w:w="3600"/>
            <w:shd w:fill="F2F5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Complément</w:t>
            </w:r>
          </w:p>
        </w:tc>
      </w:tr>
    </w:tbl>
    <w:p>
      <w:pPr>
        <w:spacing w:after="100"/>
      </w:pPr>
    </w:p>
    <w:p>
      <w:pPr>
        <w:pStyle w:val="ListParagraph"/>
        <w:numPr>
          <w:ilvl w:val="0"/>
          <w:numId w:val="2"/>
        </w:numPr>
        <w:spacing w:after="90" w:line="260"/>
      </w:pPr>
      <w:r>
        <w:rPr>
          <w:rFonts w:ascii="Calibri" w:cs="Calibri" w:eastAsia="Calibri" w:hAnsi="Calibri"/>
          <w:b w:val="false"/>
          <w:bCs w:val="false"/>
          <w:sz w:val="22"/>
          <w:szCs w:val="22"/>
        </w:rPr>
        <w:t xml:space="preserve">Décision : écart ≥ 20 points → transfert ou maintien ; écart &lt; 20 points → « litige non tranché » (V-LIT maintenu, renvoi justice).</w:t>
      </w:r>
    </w:p>
    <w:p>
      <w:pPr>
        <w:pStyle w:val="ListParagraph"/>
        <w:numPr>
          <w:ilvl w:val="0"/>
          <w:numId w:val="2"/>
        </w:numPr>
        <w:spacing w:after="90" w:line="260"/>
      </w:pPr>
      <w:r>
        <w:rPr>
          <w:rFonts w:ascii="Calibri" w:cs="Calibri" w:eastAsia="Calibri" w:hAnsi="Calibri"/>
          <w:b w:val="false"/>
          <w:bCs w:val="false"/>
          <w:sz w:val="22"/>
          <w:szCs w:val="22"/>
        </w:rPr>
        <w:t xml:space="preserve">Un document dont la falsification est suspectée est signalé, pondéré à 0 et le dossier escaladé.</w:t>
      </w:r>
    </w:p>
    <w:p>
      <w:pPr>
        <w:pStyle w:val="Heading2"/>
        <w:spacing w:after="140" w:before="280"/>
      </w:pPr>
      <w:r>
        <w:rPr>
          <w:rFonts w:ascii="Calibri" w:cs="Calibri" w:eastAsia="Calibri" w:hAnsi="Calibri"/>
          <w:b/>
          <w:bCs/>
          <w:color w:val="D97706"/>
          <w:sz w:val="26"/>
          <w:szCs w:val="26"/>
        </w:rPr>
        <w:t xml:space="preserve">5.3 Anonymat et niveaux d'information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600"/>
      </w:tblGrid>
      <w:tr>
        <w:trPr>
          <w:tblHeader/>
        </w:trPr>
        <w:tc>
          <w:tcPr>
            <w:tcW w:type="dxa" w:w="2400"/>
            <w:shd w:fill="0B2545" w:val="clear"/>
            <w:tcMar>
              <w:top w:type="dxa" w:w="70"/>
              <w:left w:type="dxa" w:w="110"/>
              <w:bottom w:type="dxa" w:w="70"/>
              <w:right w:type="dxa" w:w="110"/>
            </w:tcMar>
          </w:tcPr>
          <w:p>
            <w:r>
              <w:rPr>
                <w:rFonts w:ascii="Calibri" w:cs="Calibri" w:eastAsia="Calibri" w:hAnsi="Calibri"/>
                <w:b/>
                <w:bCs/>
                <w:color w:val="FFFFFF"/>
                <w:sz w:val="19"/>
                <w:szCs w:val="19"/>
              </w:rPr>
              <w:t xml:space="preserve">Niveau d'accès</w:t>
            </w:r>
          </w:p>
        </w:tc>
        <w:tc>
          <w:tcPr>
            <w:tcW w:type="dxa" w:w="2600"/>
            <w:shd w:fill="0B2545" w:val="clear"/>
            <w:tcMar>
              <w:top w:type="dxa" w:w="70"/>
              <w:left w:type="dxa" w:w="110"/>
              <w:bottom w:type="dxa" w:w="70"/>
              <w:right w:type="dxa" w:w="110"/>
            </w:tcMar>
          </w:tcPr>
          <w:p>
            <w:r>
              <w:rPr>
                <w:rFonts w:ascii="Calibri" w:cs="Calibri" w:eastAsia="Calibri" w:hAnsi="Calibri"/>
                <w:b/>
                <w:bCs/>
                <w:color w:val="FFFFFF"/>
                <w:sz w:val="19"/>
                <w:szCs w:val="19"/>
              </w:rPr>
              <w:t xml:space="preserve">Qui</w:t>
            </w:r>
          </w:p>
        </w:tc>
        <w:tc>
          <w:tcPr>
            <w:tcW w:type="dxa" w:w="4600"/>
            <w:shd w:fill="0B2545" w:val="clear"/>
            <w:tcMar>
              <w:top w:type="dxa" w:w="70"/>
              <w:left w:type="dxa" w:w="110"/>
              <w:bottom w:type="dxa" w:w="70"/>
              <w:right w:type="dxa" w:w="110"/>
            </w:tcMar>
          </w:tcPr>
          <w:p>
            <w:r>
              <w:rPr>
                <w:rFonts w:ascii="Calibri" w:cs="Calibri" w:eastAsia="Calibri" w:hAnsi="Calibri"/>
                <w:b/>
                <w:bCs/>
                <w:color w:val="FFFFFF"/>
                <w:sz w:val="19"/>
                <w:szCs w:val="19"/>
              </w:rPr>
              <w:t xml:space="preserve">Informations visibles</w:t>
            </w:r>
          </w:p>
        </w:tc>
      </w:tr>
      <w:tr>
        <w:tc>
          <w:tcPr>
            <w:tcW w:type="dxa" w:w="2400"/>
            <w:tcMar>
              <w:top w:type="dxa" w:w="70"/>
              <w:left w:type="dxa" w:w="110"/>
              <w:bottom w:type="dxa" w:w="70"/>
              <w:right w:type="dxa" w:w="110"/>
            </w:tcMar>
          </w:tcPr>
          <w:p>
            <w:r>
              <w:rPr>
                <w:rFonts w:ascii="Calibri" w:cs="Calibri" w:eastAsia="Calibri" w:hAnsi="Calibri"/>
                <w:b w:val="false"/>
                <w:bCs w:val="false"/>
                <w:color w:val="1A1A1A"/>
                <w:sz w:val="19"/>
                <w:szCs w:val="19"/>
              </w:rPr>
              <w:t xml:space="preserve">Statut public (gratuit)</w:t>
            </w:r>
          </w:p>
        </w:tc>
        <w:tc>
          <w:tcPr>
            <w:tcW w:type="dxa" w:w="2600"/>
            <w:tcMar>
              <w:top w:type="dxa" w:w="70"/>
              <w:left w:type="dxa" w:w="110"/>
              <w:bottom w:type="dxa" w:w="70"/>
              <w:right w:type="dxa" w:w="110"/>
            </w:tcMar>
          </w:tcPr>
          <w:p>
            <w:r>
              <w:rPr>
                <w:rFonts w:ascii="Calibri" w:cs="Calibri" w:eastAsia="Calibri" w:hAnsi="Calibri"/>
                <w:b w:val="false"/>
                <w:bCs w:val="false"/>
                <w:color w:val="1A1A1A"/>
                <w:sz w:val="19"/>
                <w:szCs w:val="19"/>
              </w:rPr>
              <w:t xml:space="preserve">Tout consultant, sans compte</w:t>
            </w:r>
          </w:p>
        </w:tc>
        <w:tc>
          <w:tcPr>
            <w:tcW w:type="dxa" w:w="4600"/>
            <w:tcMar>
              <w:top w:type="dxa" w:w="70"/>
              <w:left w:type="dxa" w:w="110"/>
              <w:bottom w:type="dxa" w:w="70"/>
              <w:right w:type="dxa" w:w="110"/>
            </w:tcMar>
          </w:tcPr>
          <w:p>
            <w:r>
              <w:rPr>
                <w:rFonts w:ascii="Calibri" w:cs="Calibri" w:eastAsia="Calibri" w:hAnsi="Calibri"/>
                <w:b w:val="false"/>
                <w:bCs w:val="false"/>
                <w:color w:val="1A1A1A"/>
                <w:sz w:val="19"/>
                <w:szCs w:val="19"/>
              </w:rPr>
              <w:t xml:space="preserve">Verdict (statut de vie + fiabilité), type de bien, marque/modèle génériques, ancienneté enregistrement, ancienneté compte déclarant</w:t>
            </w:r>
          </w:p>
        </w:tc>
      </w:tr>
      <w:tr>
        <w:tc>
          <w:tcPr>
            <w:tcW w:type="dxa" w:w="2400"/>
            <w:shd w:fill="F2F5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Rapport détaillé (payant)</w:t>
            </w:r>
          </w:p>
        </w:tc>
        <w:tc>
          <w:tcPr>
            <w:tcW w:type="dxa" w:w="2600"/>
            <w:shd w:fill="F2F5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Consultant authentifié ayant payé</w:t>
            </w:r>
          </w:p>
        </w:tc>
        <w:tc>
          <w:tcPr>
            <w:tcW w:type="dxa" w:w="4600"/>
            <w:shd w:fill="F2F5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Historique des statuts, nombre de détenteurs successifs et dates de transfert (jamais les identités), incidents déclarés, niveau documentaire</w:t>
            </w:r>
          </w:p>
        </w:tc>
      </w:tr>
      <w:tr>
        <w:tc>
          <w:tcPr>
            <w:tcW w:type="dxa" w:w="2400"/>
            <w:tcMar>
              <w:top w:type="dxa" w:w="70"/>
              <w:left w:type="dxa" w:w="110"/>
              <w:bottom w:type="dxa" w:w="70"/>
              <w:right w:type="dxa" w:w="110"/>
            </w:tcMar>
          </w:tcPr>
          <w:p>
            <w:r>
              <w:rPr>
                <w:rFonts w:ascii="Calibri" w:cs="Calibri" w:eastAsia="Calibri" w:hAnsi="Calibri"/>
                <w:b w:val="false"/>
                <w:bCs w:val="false"/>
                <w:color w:val="1A1A1A"/>
                <w:sz w:val="19"/>
                <w:szCs w:val="19"/>
              </w:rPr>
              <w:t xml:space="preserve">Dossier complet</w:t>
            </w:r>
          </w:p>
        </w:tc>
        <w:tc>
          <w:tcPr>
            <w:tcW w:type="dxa" w:w="2600"/>
            <w:tcMar>
              <w:top w:type="dxa" w:w="70"/>
              <w:left w:type="dxa" w:w="110"/>
              <w:bottom w:type="dxa" w:w="70"/>
              <w:right w:type="dxa" w:w="110"/>
            </w:tcMar>
          </w:tcPr>
          <w:p>
            <w:r>
              <w:rPr>
                <w:rFonts w:ascii="Calibri" w:cs="Calibri" w:eastAsia="Calibri" w:hAnsi="Calibri"/>
                <w:b w:val="false"/>
                <w:bCs w:val="false"/>
                <w:color w:val="1A1A1A"/>
                <w:sz w:val="19"/>
                <w:szCs w:val="19"/>
              </w:rPr>
              <w:t xml:space="preserve">Détenteur, parties à un litige (leur dossier), autorité judiciaire sur réquisition</w:t>
            </w:r>
          </w:p>
        </w:tc>
        <w:tc>
          <w:tcPr>
            <w:tcW w:type="dxa" w:w="4600"/>
            <w:tcMar>
              <w:top w:type="dxa" w:w="70"/>
              <w:left w:type="dxa" w:w="110"/>
              <w:bottom w:type="dxa" w:w="70"/>
              <w:right w:type="dxa" w:w="110"/>
            </w:tcMar>
          </w:tcPr>
          <w:p>
            <w:r>
              <w:rPr>
                <w:rFonts w:ascii="Calibri" w:cs="Calibri" w:eastAsia="Calibri" w:hAnsi="Calibri"/>
                <w:b w:val="false"/>
                <w:bCs w:val="false"/>
                <w:color w:val="1A1A1A"/>
                <w:sz w:val="19"/>
                <w:szCs w:val="19"/>
              </w:rPr>
              <w:t xml:space="preserve">Identités, documents, journaux</w:t>
            </w:r>
          </w:p>
        </w:tc>
      </w:tr>
    </w:tbl>
    <w:p>
      <w:pPr>
        <w:pStyle w:val="Heading2"/>
        <w:spacing w:after="140" w:before="280"/>
      </w:pPr>
      <w:r>
        <w:rPr>
          <w:rFonts w:ascii="Calibri" w:cs="Calibri" w:eastAsia="Calibri" w:hAnsi="Calibri"/>
          <w:b/>
          <w:bCs/>
          <w:color w:val="D97706"/>
          <w:sz w:val="26"/>
          <w:szCs w:val="26"/>
        </w:rPr>
        <w:t xml:space="preserve">5.4 Monétisation — règles d'application</w:t>
      </w:r>
    </w:p>
    <w:p>
      <w:pPr>
        <w:pStyle w:val="ListParagraph"/>
        <w:numPr>
          <w:ilvl w:val="0"/>
          <w:numId w:val="2"/>
        </w:numPr>
        <w:spacing w:after="90" w:line="260"/>
      </w:pPr>
      <w:r>
        <w:rPr>
          <w:rFonts w:ascii="Calibri" w:cs="Calibri" w:eastAsia="Calibri" w:hAnsi="Calibri"/>
          <w:b w:val="false"/>
          <w:bCs w:val="false"/>
          <w:sz w:val="22"/>
          <w:szCs w:val="22"/>
        </w:rPr>
        <w:t xml:space="preserve">Particuliers : 3 biens actifs gratuits, puis 500 FCFA par bien supplémentaire et par an (tarif de lancement à valider).</w:t>
      </w:r>
    </w:p>
    <w:p>
      <w:pPr>
        <w:pStyle w:val="ListParagraph"/>
        <w:numPr>
          <w:ilvl w:val="0"/>
          <w:numId w:val="2"/>
        </w:numPr>
        <w:spacing w:after="90" w:line="260"/>
      </w:pPr>
      <w:r>
        <w:rPr>
          <w:rFonts w:ascii="Calibri" w:cs="Calibri" w:eastAsia="Calibri" w:hAnsi="Calibri"/>
          <w:b w:val="false"/>
          <w:bCs w:val="false"/>
          <w:sz w:val="22"/>
          <w:szCs w:val="22"/>
        </w:rPr>
        <w:t xml:space="preserve">Loueurs : 3 véhicules gratuits, puis abonnement mensuel par véhicule (grille par paliers de flotte).</w:t>
      </w:r>
    </w:p>
    <w:p>
      <w:pPr>
        <w:pStyle w:val="ListParagraph"/>
        <w:numPr>
          <w:ilvl w:val="0"/>
          <w:numId w:val="2"/>
        </w:numPr>
        <w:spacing w:after="90" w:line="260"/>
      </w:pPr>
      <w:r>
        <w:rPr>
          <w:rFonts w:ascii="Calibri" w:cs="Calibri" w:eastAsia="Calibri" w:hAnsi="Calibri"/>
          <w:b w:val="false"/>
          <w:bCs w:val="false"/>
          <w:sz w:val="22"/>
          <w:szCs w:val="22"/>
        </w:rPr>
        <w:t xml:space="preserve">Rapport détaillé : paiement à l'acte (500–1 000 FCFA) via Wave, Orange Money, MTN MoMo, carte (Paystack).</w:t>
      </w:r>
    </w:p>
    <w:p>
      <w:pPr>
        <w:pStyle w:val="ListParagraph"/>
        <w:numPr>
          <w:ilvl w:val="0"/>
          <w:numId w:val="2"/>
        </w:numPr>
        <w:spacing w:after="90" w:line="260"/>
      </w:pPr>
      <w:r>
        <w:rPr>
          <w:rFonts w:ascii="Calibri" w:cs="Calibri" w:eastAsia="Calibri" w:hAnsi="Calibri"/>
          <w:b w:val="false"/>
          <w:bCs w:val="false"/>
          <w:sz w:val="22"/>
          <w:szCs w:val="22"/>
        </w:rPr>
        <w:t xml:space="preserve">La consultation de statut public reste gratuite et sans compte, sans exception.</w:t>
      </w:r>
    </w:p>
    <w:p>
      <w:pPr>
        <w:pStyle w:val="Heading1"/>
        <w:spacing w:after="180" w:before="360"/>
      </w:pPr>
      <w:r>
        <w:rPr>
          <w:rFonts w:ascii="Calibri" w:cs="Calibri" w:eastAsia="Calibri" w:hAnsi="Calibri"/>
          <w:b/>
          <w:bCs/>
          <w:color w:val="0B2545"/>
          <w:sz w:val="32"/>
          <w:szCs w:val="32"/>
        </w:rPr>
        <w:t xml:space="preserve">6. Exigences fonctionnelles par epic</w:t>
      </w:r>
    </w:p>
    <w:p>
      <w:pPr>
        <w:pStyle w:val="Heading2"/>
        <w:spacing w:after="140" w:before="280"/>
      </w:pPr>
      <w:r>
        <w:rPr>
          <w:rFonts w:ascii="Calibri" w:cs="Calibri" w:eastAsia="Calibri" w:hAnsi="Calibri"/>
          <w:b/>
          <w:bCs/>
          <w:color w:val="D97706"/>
          <w:sz w:val="26"/>
          <w:szCs w:val="26"/>
        </w:rPr>
        <w:t xml:space="preserve">EP-01 Socle &amp; comptes</w:t>
      </w:r>
    </w:p>
    <w:p>
      <w:pPr>
        <w:pStyle w:val="ListParagraph"/>
        <w:numPr>
          <w:ilvl w:val="0"/>
          <w:numId w:val="2"/>
        </w:numPr>
        <w:spacing w:after="90" w:line="260"/>
      </w:pPr>
      <w:r>
        <w:rPr>
          <w:rFonts w:ascii="Calibri" w:cs="Calibri" w:eastAsia="Calibri" w:hAnsi="Calibri"/>
          <w:b w:val="false"/>
          <w:bCs w:val="false"/>
          <w:sz w:val="22"/>
          <w:szCs w:val="22"/>
        </w:rPr>
        <w:t xml:space="preserve">ST-0101 Création de compte par numéro de téléphone + OTP (aucun mot de passe au MVP).</w:t>
      </w:r>
    </w:p>
    <w:p>
      <w:pPr>
        <w:pStyle w:val="ListParagraph"/>
        <w:numPr>
          <w:ilvl w:val="0"/>
          <w:numId w:val="2"/>
        </w:numPr>
        <w:spacing w:after="90" w:line="260"/>
      </w:pPr>
      <w:r>
        <w:rPr>
          <w:rFonts w:ascii="Calibri" w:cs="Calibri" w:eastAsia="Calibri" w:hAnsi="Calibri"/>
          <w:b w:val="false"/>
          <w:bCs w:val="false"/>
          <w:sz w:val="22"/>
          <w:szCs w:val="22"/>
        </w:rPr>
        <w:t xml:space="preserve">ST-0102 KYC progressif : CNI recto/verso (OCR Mindee) + selfie liveness ; statut KYC visible dans le profil.</w:t>
      </w:r>
    </w:p>
    <w:p>
      <w:pPr>
        <w:pStyle w:val="ListParagraph"/>
        <w:numPr>
          <w:ilvl w:val="0"/>
          <w:numId w:val="2"/>
        </w:numPr>
        <w:spacing w:after="90" w:line="260"/>
      </w:pPr>
      <w:r>
        <w:rPr>
          <w:rFonts w:ascii="Calibri" w:cs="Calibri" w:eastAsia="Calibri" w:hAnsi="Calibri"/>
          <w:b w:val="false"/>
          <w:bCs w:val="false"/>
          <w:sz w:val="22"/>
          <w:szCs w:val="22"/>
        </w:rPr>
        <w:t xml:space="preserve">ST-0103 Comptes entreprise (loueur) : RCCM + KYC du représentant + validation back-office.</w:t>
      </w:r>
    </w:p>
    <w:p>
      <w:pPr>
        <w:pStyle w:val="ListParagraph"/>
        <w:numPr>
          <w:ilvl w:val="0"/>
          <w:numId w:val="2"/>
        </w:numPr>
        <w:spacing w:after="90" w:line="260"/>
      </w:pPr>
      <w:r>
        <w:rPr>
          <w:rFonts w:ascii="Calibri" w:cs="Calibri" w:eastAsia="Calibri" w:hAnsi="Calibri"/>
          <w:b w:val="false"/>
          <w:bCs w:val="false"/>
          <w:sz w:val="22"/>
          <w:szCs w:val="22"/>
        </w:rPr>
        <w:t xml:space="preserve">ST-0104 Gestion consentements et droits Loi 2013-450 (accès, rectification, suppression avec règles de conservation).</w:t>
      </w:r>
    </w:p>
    <w:p>
      <w:pPr>
        <w:pStyle w:val="Heading2"/>
        <w:spacing w:after="140" w:before="280"/>
      </w:pPr>
      <w:r>
        <w:rPr>
          <w:rFonts w:ascii="Calibri" w:cs="Calibri" w:eastAsia="Calibri" w:hAnsi="Calibri"/>
          <w:b/>
          <w:bCs/>
          <w:color w:val="D97706"/>
          <w:sz w:val="26"/>
          <w:szCs w:val="26"/>
        </w:rPr>
        <w:t xml:space="preserve">EP-02 Enregistrement express</w:t>
      </w:r>
    </w:p>
    <w:p>
      <w:pPr>
        <w:pStyle w:val="ListParagraph"/>
        <w:numPr>
          <w:ilvl w:val="0"/>
          <w:numId w:val="2"/>
        </w:numPr>
        <w:spacing w:after="90" w:line="260"/>
      </w:pPr>
      <w:r>
        <w:rPr>
          <w:rFonts w:ascii="Calibri" w:cs="Calibri" w:eastAsia="Calibri" w:hAnsi="Calibri"/>
          <w:b w:val="false"/>
          <w:bCs w:val="false"/>
          <w:sz w:val="22"/>
          <w:szCs w:val="22"/>
        </w:rPr>
        <w:t xml:space="preserve">ST-0201 Formulaire une vue progressive 4 gestes (cf. §4.2), chrono interne mesuré (télémétrie CT-02).</w:t>
      </w:r>
    </w:p>
    <w:p>
      <w:pPr>
        <w:pStyle w:val="ListParagraph"/>
        <w:numPr>
          <w:ilvl w:val="0"/>
          <w:numId w:val="2"/>
        </w:numPr>
        <w:spacing w:after="90" w:line="260"/>
      </w:pPr>
      <w:r>
        <w:rPr>
          <w:rFonts w:ascii="Calibri" w:cs="Calibri" w:eastAsia="Calibri" w:hAnsi="Calibri"/>
          <w:b w:val="false"/>
          <w:bCs w:val="false"/>
          <w:sz w:val="22"/>
          <w:szCs w:val="22"/>
        </w:rPr>
        <w:t xml:space="preserve">ST-0202 OCR carte grise et facture avec pré-remplissage ; scan code-barres/QR ; saisie IMEI assistée.</w:t>
      </w:r>
    </w:p>
    <w:p>
      <w:pPr>
        <w:pStyle w:val="ListParagraph"/>
        <w:numPr>
          <w:ilvl w:val="0"/>
          <w:numId w:val="2"/>
        </w:numPr>
        <w:spacing w:after="90" w:line="260"/>
      </w:pPr>
      <w:r>
        <w:rPr>
          <w:rFonts w:ascii="Calibri" w:cs="Calibri" w:eastAsia="Calibri" w:hAnsi="Calibri"/>
          <w:b w:val="false"/>
          <w:bCs w:val="false"/>
          <w:sz w:val="22"/>
          <w:szCs w:val="22"/>
        </w:rPr>
        <w:t xml:space="preserve">ST-0203 Contrôle d'unicité temps réel avec normalisation (§5.1) et parcours de collision.</w:t>
      </w:r>
    </w:p>
    <w:p>
      <w:pPr>
        <w:pStyle w:val="ListParagraph"/>
        <w:numPr>
          <w:ilvl w:val="0"/>
          <w:numId w:val="2"/>
        </w:numPr>
        <w:spacing w:after="90" w:line="260"/>
      </w:pPr>
      <w:r>
        <w:rPr>
          <w:rFonts w:ascii="Calibri" w:cs="Calibri" w:eastAsia="Calibri" w:hAnsi="Calibri"/>
          <w:b w:val="false"/>
          <w:bCs w:val="false"/>
          <w:sz w:val="22"/>
          <w:szCs w:val="22"/>
        </w:rPr>
        <w:t xml:space="preserve">ST-0204 Upload photos différé avec file de reprise hors ligne.</w:t>
      </w:r>
    </w:p>
    <w:p>
      <w:pPr>
        <w:pStyle w:val="ListParagraph"/>
        <w:numPr>
          <w:ilvl w:val="0"/>
          <w:numId w:val="2"/>
        </w:numPr>
        <w:spacing w:after="90" w:line="260"/>
      </w:pPr>
      <w:r>
        <w:rPr>
          <w:rFonts w:ascii="Calibri" w:cs="Calibri" w:eastAsia="Calibri" w:hAnsi="Calibri"/>
          <w:b w:val="false"/>
          <w:bCs w:val="false"/>
          <w:sz w:val="22"/>
          <w:szCs w:val="22"/>
        </w:rPr>
        <w:t xml:space="preserve">ST-0205 Renforcement différé F1→F2→F3 depuis « Mes biens », avec jauge de score et bénéfices explicités.</w:t>
      </w:r>
    </w:p>
    <w:p>
      <w:pPr>
        <w:pStyle w:val="Heading2"/>
        <w:spacing w:after="140" w:before="280"/>
      </w:pPr>
      <w:r>
        <w:rPr>
          <w:rFonts w:ascii="Calibri" w:cs="Calibri" w:eastAsia="Calibri" w:hAnsi="Calibri"/>
          <w:b/>
          <w:bCs/>
          <w:color w:val="D97706"/>
          <w:sz w:val="26"/>
          <w:szCs w:val="26"/>
        </w:rPr>
        <w:t xml:space="preserve">EP-03 Consultation 2 clics</w:t>
      </w:r>
    </w:p>
    <w:p>
      <w:pPr>
        <w:pStyle w:val="ListParagraph"/>
        <w:numPr>
          <w:ilvl w:val="0"/>
          <w:numId w:val="2"/>
        </w:numPr>
        <w:spacing w:after="90" w:line="260"/>
      </w:pPr>
      <w:r>
        <w:rPr>
          <w:rFonts w:ascii="Calibri" w:cs="Calibri" w:eastAsia="Calibri" w:hAnsi="Calibri"/>
          <w:b w:val="false"/>
          <w:bCs w:val="false"/>
          <w:sz w:val="22"/>
          <w:szCs w:val="22"/>
        </w:rPr>
        <w:t xml:space="preserve">ST-0301 Recherche unique multi-identifiants avec détection automatique du type.</w:t>
      </w:r>
    </w:p>
    <w:p>
      <w:pPr>
        <w:pStyle w:val="ListParagraph"/>
        <w:numPr>
          <w:ilvl w:val="0"/>
          <w:numId w:val="2"/>
        </w:numPr>
        <w:spacing w:after="90" w:line="260"/>
      </w:pPr>
      <w:r>
        <w:rPr>
          <w:rFonts w:ascii="Calibri" w:cs="Calibri" w:eastAsia="Calibri" w:hAnsi="Calibri"/>
          <w:b w:val="false"/>
          <w:bCs w:val="false"/>
          <w:sz w:val="22"/>
          <w:szCs w:val="22"/>
        </w:rPr>
        <w:t xml:space="preserve">ST-0302 Page de verdict plein écran : stamp de statut, fiabilité, signaux temporels, actions contextuelles.</w:t>
      </w:r>
    </w:p>
    <w:p>
      <w:pPr>
        <w:pStyle w:val="ListParagraph"/>
        <w:numPr>
          <w:ilvl w:val="0"/>
          <w:numId w:val="2"/>
        </w:numPr>
        <w:spacing w:after="90" w:line="260"/>
      </w:pPr>
      <w:r>
        <w:rPr>
          <w:rFonts w:ascii="Calibri" w:cs="Calibri" w:eastAsia="Calibri" w:hAnsi="Calibri"/>
          <w:b w:val="false"/>
          <w:bCs w:val="false"/>
          <w:sz w:val="22"/>
          <w:szCs w:val="22"/>
        </w:rPr>
        <w:t xml:space="preserve">ST-0303 Pages de statut web publiques indexables (SEO) par identifiant, sans donnée personnelle.</w:t>
      </w:r>
    </w:p>
    <w:p>
      <w:pPr>
        <w:pStyle w:val="ListParagraph"/>
        <w:numPr>
          <w:ilvl w:val="0"/>
          <w:numId w:val="2"/>
        </w:numPr>
        <w:spacing w:after="90" w:line="260"/>
      </w:pPr>
      <w:r>
        <w:rPr>
          <w:rFonts w:ascii="Calibri" w:cs="Calibri" w:eastAsia="Calibri" w:hAnsi="Calibri"/>
          <w:b w:val="false"/>
          <w:bCs w:val="false"/>
          <w:sz w:val="22"/>
          <w:szCs w:val="22"/>
        </w:rPr>
        <w:t xml:space="preserve">ST-0304 Limitation de débit + CAPTCHA anti-profilage.</w:t>
      </w:r>
    </w:p>
    <w:p>
      <w:pPr>
        <w:pStyle w:val="Heading2"/>
        <w:spacing w:after="140" w:before="280"/>
      </w:pPr>
      <w:r>
        <w:rPr>
          <w:rFonts w:ascii="Calibri" w:cs="Calibri" w:eastAsia="Calibri" w:hAnsi="Calibri"/>
          <w:b/>
          <w:bCs/>
          <w:color w:val="D97706"/>
          <w:sz w:val="26"/>
          <w:szCs w:val="26"/>
        </w:rPr>
        <w:t xml:space="preserve">EP-04 Confiance graduée</w:t>
      </w:r>
    </w:p>
    <w:p>
      <w:pPr>
        <w:pStyle w:val="ListParagraph"/>
        <w:numPr>
          <w:ilvl w:val="0"/>
          <w:numId w:val="2"/>
        </w:numPr>
        <w:spacing w:after="90" w:line="260"/>
      </w:pPr>
      <w:r>
        <w:rPr>
          <w:rFonts w:ascii="Calibri" w:cs="Calibri" w:eastAsia="Calibri" w:hAnsi="Calibri"/>
          <w:b w:val="false"/>
          <w:bCs w:val="false"/>
          <w:sz w:val="22"/>
          <w:szCs w:val="22"/>
        </w:rPr>
        <w:t xml:space="preserve">ST-0401 Moteur de calcul du niveau F1/F2/F3 avec règles versionnées.</w:t>
      </w:r>
    </w:p>
    <w:p>
      <w:pPr>
        <w:pStyle w:val="ListParagraph"/>
        <w:numPr>
          <w:ilvl w:val="0"/>
          <w:numId w:val="2"/>
        </w:numPr>
        <w:spacing w:after="90" w:line="260"/>
      </w:pPr>
      <w:r>
        <w:rPr>
          <w:rFonts w:ascii="Calibri" w:cs="Calibri" w:eastAsia="Calibri" w:hAnsi="Calibri"/>
          <w:b w:val="false"/>
          <w:bCs w:val="false"/>
          <w:sz w:val="22"/>
          <w:szCs w:val="22"/>
        </w:rPr>
        <w:t xml:space="preserve">ST-0402 Fenêtre de contestation 30 jours (V-PRV) avec bascule automatique.</w:t>
      </w:r>
    </w:p>
    <w:p>
      <w:pPr>
        <w:pStyle w:val="ListParagraph"/>
        <w:numPr>
          <w:ilvl w:val="0"/>
          <w:numId w:val="2"/>
        </w:numPr>
        <w:spacing w:after="90" w:line="260"/>
      </w:pPr>
      <w:r>
        <w:rPr>
          <w:rFonts w:ascii="Calibri" w:cs="Calibri" w:eastAsia="Calibri" w:hAnsi="Calibri"/>
          <w:b w:val="false"/>
          <w:bCs w:val="false"/>
          <w:sz w:val="22"/>
          <w:szCs w:val="22"/>
        </w:rPr>
        <w:t xml:space="preserve">ST-0403 Alertes de veille : tout détenteur peut activer une alerte sur ses identifiants (tentative de doublon, pic de consultations).</w:t>
      </w:r>
    </w:p>
    <w:p>
      <w:pPr>
        <w:pStyle w:val="ListParagraph"/>
        <w:numPr>
          <w:ilvl w:val="0"/>
          <w:numId w:val="2"/>
        </w:numPr>
        <w:spacing w:after="90" w:line="260"/>
      </w:pPr>
      <w:r>
        <w:rPr>
          <w:rFonts w:ascii="Calibri" w:cs="Calibri" w:eastAsia="Calibri" w:hAnsi="Calibri"/>
          <w:b w:val="false"/>
          <w:bCs w:val="false"/>
          <w:sz w:val="22"/>
          <w:szCs w:val="22"/>
        </w:rPr>
        <w:t xml:space="preserve">ST-0404 Affichage public des signaux temporels.</w:t>
      </w:r>
    </w:p>
    <w:p>
      <w:pPr>
        <w:pStyle w:val="Heading2"/>
        <w:spacing w:after="140" w:before="280"/>
      </w:pPr>
      <w:r>
        <w:rPr>
          <w:rFonts w:ascii="Calibri" w:cs="Calibri" w:eastAsia="Calibri" w:hAnsi="Calibri"/>
          <w:b/>
          <w:bCs/>
          <w:color w:val="D97706"/>
          <w:sz w:val="26"/>
          <w:szCs w:val="26"/>
        </w:rPr>
        <w:t xml:space="preserve">EP-05 Réclamation &amp; arbitrage</w:t>
      </w:r>
    </w:p>
    <w:p>
      <w:pPr>
        <w:pStyle w:val="ListParagraph"/>
        <w:numPr>
          <w:ilvl w:val="0"/>
          <w:numId w:val="2"/>
        </w:numPr>
        <w:spacing w:after="90" w:line="260"/>
      </w:pPr>
      <w:r>
        <w:rPr>
          <w:rFonts w:ascii="Calibri" w:cs="Calibri" w:eastAsia="Calibri" w:hAnsi="Calibri"/>
          <w:b w:val="false"/>
          <w:bCs w:val="false"/>
          <w:sz w:val="22"/>
          <w:szCs w:val="22"/>
        </w:rPr>
        <w:t xml:space="preserve">ST-0501 Formulaire de réclamation guidé + paiement des frais de dossier + recevabilité (auto/manuelle).</w:t>
      </w:r>
    </w:p>
    <w:p>
      <w:pPr>
        <w:pStyle w:val="ListParagraph"/>
        <w:numPr>
          <w:ilvl w:val="0"/>
          <w:numId w:val="2"/>
        </w:numPr>
        <w:spacing w:after="90" w:line="260"/>
      </w:pPr>
      <w:r>
        <w:rPr>
          <w:rFonts w:ascii="Calibri" w:cs="Calibri" w:eastAsia="Calibri" w:hAnsi="Calibri"/>
          <w:b w:val="false"/>
          <w:bCs w:val="false"/>
          <w:sz w:val="22"/>
          <w:szCs w:val="22"/>
        </w:rPr>
        <w:t xml:space="preserve">ST-0502 Gel V-LIT immédiat et notifications contradictoires.</w:t>
      </w:r>
    </w:p>
    <w:p>
      <w:pPr>
        <w:pStyle w:val="ListParagraph"/>
        <w:numPr>
          <w:ilvl w:val="0"/>
          <w:numId w:val="2"/>
        </w:numPr>
        <w:spacing w:after="90" w:line="260"/>
      </w:pPr>
      <w:r>
        <w:rPr>
          <w:rFonts w:ascii="Calibri" w:cs="Calibri" w:eastAsia="Calibri" w:hAnsi="Calibri"/>
          <w:b w:val="false"/>
          <w:bCs w:val="false"/>
          <w:sz w:val="22"/>
          <w:szCs w:val="22"/>
        </w:rPr>
        <w:t xml:space="preserve">ST-0503 Console d'instruction : comparaison côte à côte des dossiers, grille §5.2 assistée, décision motivée obligatoire.</w:t>
      </w:r>
    </w:p>
    <w:p>
      <w:pPr>
        <w:pStyle w:val="ListParagraph"/>
        <w:numPr>
          <w:ilvl w:val="0"/>
          <w:numId w:val="2"/>
        </w:numPr>
        <w:spacing w:after="90" w:line="260"/>
      </w:pPr>
      <w:r>
        <w:rPr>
          <w:rFonts w:ascii="Calibri" w:cs="Calibri" w:eastAsia="Calibri" w:hAnsi="Calibri"/>
          <w:b w:val="false"/>
          <w:bCs w:val="false"/>
          <w:sz w:val="22"/>
          <w:szCs w:val="22"/>
        </w:rPr>
        <w:t xml:space="preserve">ST-0504 Export PDF horodaté et hashé du dossier (pour la justice).</w:t>
      </w:r>
    </w:p>
    <w:p>
      <w:pPr>
        <w:pStyle w:val="ListParagraph"/>
        <w:numPr>
          <w:ilvl w:val="0"/>
          <w:numId w:val="2"/>
        </w:numPr>
        <w:spacing w:after="90" w:line="260"/>
      </w:pPr>
      <w:r>
        <w:rPr>
          <w:rFonts w:ascii="Calibri" w:cs="Calibri" w:eastAsia="Calibri" w:hAnsi="Calibri"/>
          <w:b w:val="false"/>
          <w:bCs w:val="false"/>
          <w:sz w:val="22"/>
          <w:szCs w:val="22"/>
        </w:rPr>
        <w:t xml:space="preserve">ST-0505 Appel interne unique (second agent).</w:t>
      </w:r>
    </w:p>
    <w:p>
      <w:pPr>
        <w:pStyle w:val="Heading2"/>
        <w:spacing w:after="140" w:before="280"/>
      </w:pPr>
      <w:r>
        <w:rPr>
          <w:rFonts w:ascii="Calibri" w:cs="Calibri" w:eastAsia="Calibri" w:hAnsi="Calibri"/>
          <w:b/>
          <w:bCs/>
          <w:color w:val="D97706"/>
          <w:sz w:val="26"/>
          <w:szCs w:val="26"/>
        </w:rPr>
        <w:t xml:space="preserve">EP-06 Transferts &amp; cycle de vie</w:t>
      </w:r>
    </w:p>
    <w:p>
      <w:pPr>
        <w:pStyle w:val="ListParagraph"/>
        <w:numPr>
          <w:ilvl w:val="0"/>
          <w:numId w:val="2"/>
        </w:numPr>
        <w:spacing w:after="90" w:line="260"/>
      </w:pPr>
      <w:r>
        <w:rPr>
          <w:rFonts w:ascii="Calibri" w:cs="Calibri" w:eastAsia="Calibri" w:hAnsi="Calibri"/>
          <w:b w:val="false"/>
          <w:bCs w:val="false"/>
          <w:sz w:val="22"/>
          <w:szCs w:val="22"/>
        </w:rPr>
        <w:t xml:space="preserve">ST-0601 Transfert double validation + double OTP, expiration 7 jours (§4.4).</w:t>
      </w:r>
    </w:p>
    <w:p>
      <w:pPr>
        <w:pStyle w:val="ListParagraph"/>
        <w:numPr>
          <w:ilvl w:val="0"/>
          <w:numId w:val="2"/>
        </w:numPr>
        <w:spacing w:after="90" w:line="260"/>
      </w:pPr>
      <w:r>
        <w:rPr>
          <w:rFonts w:ascii="Calibri" w:cs="Calibri" w:eastAsia="Calibri" w:hAnsi="Calibri"/>
          <w:b w:val="false"/>
          <w:bCs w:val="false"/>
          <w:sz w:val="22"/>
          <w:szCs w:val="22"/>
        </w:rPr>
        <w:t xml:space="preserve">ST-0602 Chaîne des détenteurs (historique interne, exposé anonymisé dans le rapport détaillé).</w:t>
      </w:r>
    </w:p>
    <w:p>
      <w:pPr>
        <w:pStyle w:val="ListParagraph"/>
        <w:numPr>
          <w:ilvl w:val="0"/>
          <w:numId w:val="2"/>
        </w:numPr>
        <w:spacing w:after="90" w:line="260"/>
      </w:pPr>
      <w:r>
        <w:rPr>
          <w:rFonts w:ascii="Calibri" w:cs="Calibri" w:eastAsia="Calibri" w:hAnsi="Calibri"/>
          <w:b w:val="false"/>
          <w:bCs w:val="false"/>
          <w:sz w:val="22"/>
          <w:szCs w:val="22"/>
        </w:rPr>
        <w:t xml:space="preserve">ST-0603 Déclaration de vol un geste + consolidation récépissé (§4.3).</w:t>
      </w:r>
    </w:p>
    <w:p>
      <w:pPr>
        <w:pStyle w:val="ListParagraph"/>
        <w:numPr>
          <w:ilvl w:val="0"/>
          <w:numId w:val="2"/>
        </w:numPr>
        <w:spacing w:after="90" w:line="260"/>
      </w:pPr>
      <w:r>
        <w:rPr>
          <w:rFonts w:ascii="Calibri" w:cs="Calibri" w:eastAsia="Calibri" w:hAnsi="Calibri"/>
          <w:b w:val="false"/>
          <w:bCs w:val="false"/>
          <w:sz w:val="22"/>
          <w:szCs w:val="22"/>
        </w:rPr>
        <w:t xml:space="preserve">ST-0604 Statuts V-LOC (comptes loueurs) et V-FDV avec règles de levée.</w:t>
      </w:r>
    </w:p>
    <w:p>
      <w:pPr>
        <w:pStyle w:val="Heading2"/>
        <w:spacing w:after="140" w:before="280"/>
      </w:pPr>
      <w:r>
        <w:rPr>
          <w:rFonts w:ascii="Calibri" w:cs="Calibri" w:eastAsia="Calibri" w:hAnsi="Calibri"/>
          <w:b/>
          <w:bCs/>
          <w:color w:val="D97706"/>
          <w:sz w:val="26"/>
          <w:szCs w:val="26"/>
        </w:rPr>
        <w:t xml:space="preserve">EP-07 Offre B2B flotte</w:t>
      </w:r>
    </w:p>
    <w:p>
      <w:pPr>
        <w:pStyle w:val="ListParagraph"/>
        <w:numPr>
          <w:ilvl w:val="0"/>
          <w:numId w:val="2"/>
        </w:numPr>
        <w:spacing w:after="90" w:line="260"/>
      </w:pPr>
      <w:r>
        <w:rPr>
          <w:rFonts w:ascii="Calibri" w:cs="Calibri" w:eastAsia="Calibri" w:hAnsi="Calibri"/>
          <w:b w:val="false"/>
          <w:bCs w:val="false"/>
          <w:sz w:val="22"/>
          <w:szCs w:val="22"/>
        </w:rPr>
        <w:t xml:space="preserve">ST-0701 Import de flotte par fichier Excel/CSV (modèle fourni) avec rapport d'erreurs.</w:t>
      </w:r>
    </w:p>
    <w:p>
      <w:pPr>
        <w:pStyle w:val="ListParagraph"/>
        <w:numPr>
          <w:ilvl w:val="0"/>
          <w:numId w:val="2"/>
        </w:numPr>
        <w:spacing w:after="90" w:line="260"/>
      </w:pPr>
      <w:r>
        <w:rPr>
          <w:rFonts w:ascii="Calibri" w:cs="Calibri" w:eastAsia="Calibri" w:hAnsi="Calibri"/>
          <w:b w:val="false"/>
          <w:bCs w:val="false"/>
          <w:sz w:val="22"/>
          <w:szCs w:val="22"/>
        </w:rPr>
        <w:t xml:space="preserve">ST-0702 Tableau de bord loueur : flotte, statuts, alertes, consultations par véhicule.</w:t>
      </w:r>
    </w:p>
    <w:p>
      <w:pPr>
        <w:pStyle w:val="ListParagraph"/>
        <w:numPr>
          <w:ilvl w:val="0"/>
          <w:numId w:val="2"/>
        </w:numPr>
        <w:spacing w:after="90" w:line="260"/>
      </w:pPr>
      <w:r>
        <w:rPr>
          <w:rFonts w:ascii="Calibri" w:cs="Calibri" w:eastAsia="Calibri" w:hAnsi="Calibri"/>
          <w:b w:val="false"/>
          <w:bCs w:val="false"/>
          <w:sz w:val="22"/>
          <w:szCs w:val="22"/>
        </w:rPr>
        <w:t xml:space="preserve">ST-0703 Marquage/démarquage « En location » en masse.</w:t>
      </w:r>
    </w:p>
    <w:p>
      <w:pPr>
        <w:pStyle w:val="ListParagraph"/>
        <w:numPr>
          <w:ilvl w:val="0"/>
          <w:numId w:val="2"/>
        </w:numPr>
        <w:spacing w:after="90" w:line="260"/>
      </w:pPr>
      <w:r>
        <w:rPr>
          <w:rFonts w:ascii="Calibri" w:cs="Calibri" w:eastAsia="Calibri" w:hAnsi="Calibri"/>
          <w:b w:val="false"/>
          <w:bCs w:val="false"/>
          <w:sz w:val="22"/>
          <w:szCs w:val="22"/>
        </w:rPr>
        <w:t xml:space="preserve">ST-0704 Facturation par véhicule avec paliers, factures PDF conformes.</w:t>
      </w:r>
    </w:p>
    <w:p>
      <w:pPr>
        <w:pStyle w:val="Heading2"/>
        <w:spacing w:after="140" w:before="280"/>
      </w:pPr>
      <w:r>
        <w:rPr>
          <w:rFonts w:ascii="Calibri" w:cs="Calibri" w:eastAsia="Calibri" w:hAnsi="Calibri"/>
          <w:b/>
          <w:bCs/>
          <w:color w:val="D97706"/>
          <w:sz w:val="26"/>
          <w:szCs w:val="26"/>
        </w:rPr>
        <w:t xml:space="preserve">EP-08 Monétisation</w:t>
      </w:r>
    </w:p>
    <w:p>
      <w:pPr>
        <w:pStyle w:val="ListParagraph"/>
        <w:numPr>
          <w:ilvl w:val="0"/>
          <w:numId w:val="2"/>
        </w:numPr>
        <w:spacing w:after="90" w:line="260"/>
      </w:pPr>
      <w:r>
        <w:rPr>
          <w:rFonts w:ascii="Calibri" w:cs="Calibri" w:eastAsia="Calibri" w:hAnsi="Calibri"/>
          <w:b w:val="false"/>
          <w:bCs w:val="false"/>
          <w:sz w:val="22"/>
          <w:szCs w:val="22"/>
        </w:rPr>
        <w:t xml:space="preserve">ST-0801 Paiement à l'acte du rapport détaillé (Wave, OM, MoMo, Paystack).</w:t>
      </w:r>
    </w:p>
    <w:p>
      <w:pPr>
        <w:pStyle w:val="ListParagraph"/>
        <w:numPr>
          <w:ilvl w:val="0"/>
          <w:numId w:val="2"/>
        </w:numPr>
        <w:spacing w:after="90" w:line="260"/>
      </w:pPr>
      <w:r>
        <w:rPr>
          <w:rFonts w:ascii="Calibri" w:cs="Calibri" w:eastAsia="Calibri" w:hAnsi="Calibri"/>
          <w:b w:val="false"/>
          <w:bCs w:val="false"/>
          <w:sz w:val="22"/>
          <w:szCs w:val="22"/>
        </w:rPr>
        <w:t xml:space="preserve">ST-0802 Quotas gratuits (3 biens / 3 véhicules) et upsell non bloquant.</w:t>
      </w:r>
    </w:p>
    <w:p>
      <w:pPr>
        <w:pStyle w:val="ListParagraph"/>
        <w:numPr>
          <w:ilvl w:val="0"/>
          <w:numId w:val="2"/>
        </w:numPr>
        <w:spacing w:after="90" w:line="260"/>
      </w:pPr>
      <w:r>
        <w:rPr>
          <w:rFonts w:ascii="Calibri" w:cs="Calibri" w:eastAsia="Calibri" w:hAnsi="Calibri"/>
          <w:b w:val="false"/>
          <w:bCs w:val="false"/>
          <w:sz w:val="22"/>
          <w:szCs w:val="22"/>
        </w:rPr>
        <w:t xml:space="preserve">ST-0803 Abonnements flotte : souscription, relances, suspension douce (lecture seule, jamais de suppression de données).</w:t>
      </w:r>
    </w:p>
    <w:p>
      <w:pPr>
        <w:pStyle w:val="Heading2"/>
        <w:spacing w:after="140" w:before="280"/>
      </w:pPr>
      <w:r>
        <w:rPr>
          <w:rFonts w:ascii="Calibri" w:cs="Calibri" w:eastAsia="Calibri" w:hAnsi="Calibri"/>
          <w:b/>
          <w:bCs/>
          <w:color w:val="D97706"/>
          <w:sz w:val="26"/>
          <w:szCs w:val="26"/>
        </w:rPr>
        <w:t xml:space="preserve">EP-09 Back-office &amp; observabilité</w:t>
      </w:r>
    </w:p>
    <w:p>
      <w:pPr>
        <w:pStyle w:val="ListParagraph"/>
        <w:numPr>
          <w:ilvl w:val="0"/>
          <w:numId w:val="2"/>
        </w:numPr>
        <w:spacing w:after="90" w:line="260"/>
      </w:pPr>
      <w:r>
        <w:rPr>
          <w:rFonts w:ascii="Calibri" w:cs="Calibri" w:eastAsia="Calibri" w:hAnsi="Calibri"/>
          <w:b w:val="false"/>
          <w:bCs w:val="false"/>
          <w:sz w:val="22"/>
          <w:szCs w:val="22"/>
        </w:rPr>
        <w:t xml:space="preserve">ST-0901 Administration : comptes, biens, litiges, validation comptes loueurs.</w:t>
      </w:r>
    </w:p>
    <w:p>
      <w:pPr>
        <w:pStyle w:val="ListParagraph"/>
        <w:numPr>
          <w:ilvl w:val="0"/>
          <w:numId w:val="2"/>
        </w:numPr>
        <w:spacing w:after="90" w:line="260"/>
      </w:pPr>
      <w:r>
        <w:rPr>
          <w:rFonts w:ascii="Calibri" w:cs="Calibri" w:eastAsia="Calibri" w:hAnsi="Calibri"/>
          <w:b w:val="false"/>
          <w:bCs w:val="false"/>
          <w:sz w:val="22"/>
          <w:szCs w:val="22"/>
        </w:rPr>
        <w:t xml:space="preserve">ST-0902 Journaux d'audit exhaustifs (qui, quoi, quand) sur toute action sensible.</w:t>
      </w:r>
    </w:p>
    <w:p>
      <w:pPr>
        <w:pStyle w:val="ListParagraph"/>
        <w:numPr>
          <w:ilvl w:val="0"/>
          <w:numId w:val="2"/>
        </w:numPr>
        <w:spacing w:after="90" w:line="260"/>
      </w:pPr>
      <w:r>
        <w:rPr>
          <w:rFonts w:ascii="Calibri" w:cs="Calibri" w:eastAsia="Calibri" w:hAnsi="Calibri"/>
          <w:b w:val="false"/>
          <w:bCs w:val="false"/>
          <w:sz w:val="22"/>
          <w:szCs w:val="22"/>
        </w:rPr>
        <w:t xml:space="preserve">ST-0903 Tableaux de bord anti-fraude : doublons tentés, pics de consultation, comptes suspects.</w:t>
      </w:r>
    </w:p>
    <w:p>
      <w:pPr>
        <w:pStyle w:val="ListParagraph"/>
        <w:numPr>
          <w:ilvl w:val="0"/>
          <w:numId w:val="2"/>
        </w:numPr>
        <w:spacing w:after="90" w:line="260"/>
      </w:pPr>
      <w:r>
        <w:rPr>
          <w:rFonts w:ascii="Calibri" w:cs="Calibri" w:eastAsia="Calibri" w:hAnsi="Calibri"/>
          <w:b w:val="false"/>
          <w:bCs w:val="false"/>
          <w:sz w:val="22"/>
          <w:szCs w:val="22"/>
        </w:rPr>
        <w:t xml:space="preserve">ST-0904 Indicateurs produit : temps médian d'enregistrement, taux consultation ≤ 2 interactions, conversion rapports.</w:t>
      </w:r>
    </w:p>
    <w:p>
      <w:pPr>
        <w:pStyle w:val="Heading1"/>
        <w:spacing w:after="180" w:before="360"/>
      </w:pPr>
      <w:r>
        <w:rPr>
          <w:rFonts w:ascii="Calibri" w:cs="Calibri" w:eastAsia="Calibri" w:hAnsi="Calibri"/>
          <w:b/>
          <w:bCs/>
          <w:color w:val="0B2545"/>
          <w:sz w:val="32"/>
          <w:szCs w:val="32"/>
        </w:rPr>
        <w:t xml:space="preserve">7. Architecture et modèle de données (synthèse)</w:t>
      </w:r>
    </w:p>
    <w:p>
      <w:pPr>
        <w:pStyle w:val="Heading2"/>
        <w:spacing w:after="140" w:before="280"/>
      </w:pPr>
      <w:r>
        <w:rPr>
          <w:rFonts w:ascii="Calibri" w:cs="Calibri" w:eastAsia="Calibri" w:hAnsi="Calibri"/>
          <w:b/>
          <w:bCs/>
          <w:color w:val="D97706"/>
          <w:sz w:val="26"/>
          <w:szCs w:val="26"/>
        </w:rPr>
        <w:t xml:space="preserve">7.1 Stack</w:t>
      </w:r>
    </w:p>
    <w:p>
      <w:pPr>
        <w:spacing w:after="130" w:line="270"/>
        <w:jc w:val="both"/>
      </w:pPr>
      <w:r>
        <w:rPr>
          <w:rFonts w:ascii="Calibri" w:cs="Calibri" w:eastAsia="Calibri" w:hAnsi="Calibri"/>
          <w:b w:val="false"/>
          <w:bCs w:val="false"/>
          <w:i w:val="false"/>
          <w:iCs w:val="false"/>
          <w:color w:val="1A1A1A"/>
          <w:sz w:val="22"/>
          <w:szCs w:val="22"/>
        </w:rPr>
        <w:t xml:space="preserve">Backend Laravel 11 (API REST) + PostgreSQL + Redis/Horizon (files OCR, uploads, notifications) ; mobile Flutter (iOS/Android) ; web public léger orienté consultation/SEO ; stockage objets MinIO chiffré ; KYC/OCR Mindee ; secrets HashiCorp Vault ; paiements Paystack + PawaPay (Wave, Orange Money, MTN MoMo) — CinetPay exclu.</w:t>
      </w:r>
    </w:p>
    <w:p>
      <w:pPr>
        <w:pStyle w:val="Heading2"/>
        <w:spacing w:after="140" w:before="280"/>
      </w:pPr>
      <w:r>
        <w:rPr>
          <w:rFonts w:ascii="Calibri" w:cs="Calibri" w:eastAsia="Calibri" w:hAnsi="Calibri"/>
          <w:b/>
          <w:bCs/>
          <w:color w:val="D97706"/>
          <w:sz w:val="26"/>
          <w:szCs w:val="26"/>
        </w:rPr>
        <w:t xml:space="preserve">7.2 Entités principales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700"/>
        <w:gridCol w:w="5100"/>
        <w:gridCol w:w="2800"/>
      </w:tblGrid>
      <w:tr>
        <w:trPr>
          <w:tblHeader/>
        </w:trPr>
        <w:tc>
          <w:tcPr>
            <w:tcW w:type="dxa" w:w="1700"/>
            <w:shd w:fill="0B2545" w:val="clear"/>
            <w:tcMar>
              <w:top w:type="dxa" w:w="70"/>
              <w:left w:type="dxa" w:w="110"/>
              <w:bottom w:type="dxa" w:w="70"/>
              <w:right w:type="dxa" w:w="110"/>
            </w:tcMar>
          </w:tcPr>
          <w:p>
            <w:r>
              <w:rPr>
                <w:rFonts w:ascii="Calibri" w:cs="Calibri" w:eastAsia="Calibri" w:hAnsi="Calibri"/>
                <w:b/>
                <w:bCs/>
                <w:color w:val="FFFFFF"/>
                <w:sz w:val="19"/>
                <w:szCs w:val="19"/>
              </w:rPr>
              <w:t xml:space="preserve">Entité</w:t>
            </w:r>
          </w:p>
        </w:tc>
        <w:tc>
          <w:tcPr>
            <w:tcW w:type="dxa" w:w="5100"/>
            <w:shd w:fill="0B2545" w:val="clear"/>
            <w:tcMar>
              <w:top w:type="dxa" w:w="70"/>
              <w:left w:type="dxa" w:w="110"/>
              <w:bottom w:type="dxa" w:w="70"/>
              <w:right w:type="dxa" w:w="110"/>
            </w:tcMar>
          </w:tcPr>
          <w:p>
            <w:r>
              <w:rPr>
                <w:rFonts w:ascii="Calibri" w:cs="Calibri" w:eastAsia="Calibri" w:hAnsi="Calibri"/>
                <w:b/>
                <w:bCs/>
                <w:color w:val="FFFFFF"/>
                <w:sz w:val="19"/>
                <w:szCs w:val="19"/>
              </w:rPr>
              <w:t xml:space="preserve">Champs clés</w:t>
            </w:r>
          </w:p>
        </w:tc>
        <w:tc>
          <w:tcPr>
            <w:tcW w:type="dxa" w:w="2800"/>
            <w:shd w:fill="0B2545" w:val="clear"/>
            <w:tcMar>
              <w:top w:type="dxa" w:w="70"/>
              <w:left w:type="dxa" w:w="110"/>
              <w:bottom w:type="dxa" w:w="70"/>
              <w:right w:type="dxa" w:w="110"/>
            </w:tcMar>
          </w:tcPr>
          <w:p>
            <w:r>
              <w:rPr>
                <w:rFonts w:ascii="Calibri" w:cs="Calibri" w:eastAsia="Calibri" w:hAnsi="Calibri"/>
                <w:b/>
                <w:bCs/>
                <w:color w:val="FFFFFF"/>
                <w:sz w:val="19"/>
                <w:szCs w:val="19"/>
              </w:rPr>
              <w:t xml:space="preserve">Notes</w:t>
            </w:r>
          </w:p>
        </w:tc>
      </w:tr>
      <w:tr>
        <w:tc>
          <w:tcPr>
            <w:tcW w:type="dxa" w:w="1700"/>
            <w:tcMar>
              <w:top w:type="dxa" w:w="70"/>
              <w:left w:type="dxa" w:w="110"/>
              <w:bottom w:type="dxa" w:w="70"/>
              <w:right w:type="dxa" w:w="110"/>
            </w:tcMar>
          </w:tcPr>
          <w:p>
            <w:r>
              <w:rPr>
                <w:rFonts w:ascii="Calibri" w:cs="Calibri" w:eastAsia="Calibri" w:hAnsi="Calibri"/>
                <w:b w:val="false"/>
                <w:bCs w:val="false"/>
                <w:color w:val="1A1A1A"/>
                <w:sz w:val="19"/>
                <w:szCs w:val="19"/>
              </w:rPr>
              <w:t xml:space="preserve">users</w:t>
            </w:r>
          </w:p>
        </w:tc>
        <w:tc>
          <w:tcPr>
            <w:tcW w:type="dxa" w:w="5100"/>
            <w:tcMar>
              <w:top w:type="dxa" w:w="70"/>
              <w:left w:type="dxa" w:w="110"/>
              <w:bottom w:type="dxa" w:w="70"/>
              <w:right w:type="dxa" w:w="110"/>
            </w:tcMar>
          </w:tcPr>
          <w:p>
            <w:r>
              <w:rPr>
                <w:rFonts w:ascii="Calibri" w:cs="Calibri" w:eastAsia="Calibri" w:hAnsi="Calibri"/>
                <w:b w:val="false"/>
                <w:bCs w:val="false"/>
                <w:color w:val="1A1A1A"/>
                <w:sz w:val="19"/>
                <w:szCs w:val="19"/>
              </w:rPr>
              <w:t xml:space="preserve">phone (unique), kyc_status, kyc_verified_at, type (particulier/entreprise), created_at</w:t>
            </w:r>
          </w:p>
        </w:tc>
        <w:tc>
          <w:tcPr>
            <w:tcW w:type="dxa" w:w="2800"/>
            <w:tcMar>
              <w:top w:type="dxa" w:w="70"/>
              <w:left w:type="dxa" w:w="110"/>
              <w:bottom w:type="dxa" w:w="70"/>
              <w:right w:type="dxa" w:w="110"/>
            </w:tcMar>
          </w:tcPr>
          <w:p>
            <w:r>
              <w:rPr>
                <w:rFonts w:ascii="Calibri" w:cs="Calibri" w:eastAsia="Calibri" w:hAnsi="Calibri"/>
                <w:b w:val="false"/>
                <w:bCs w:val="false"/>
                <w:color w:val="1A1A1A"/>
                <w:sz w:val="19"/>
                <w:szCs w:val="19"/>
              </w:rPr>
              <w:t xml:space="preserve">Ancienneté du compte = signal public</w:t>
            </w:r>
          </w:p>
        </w:tc>
      </w:tr>
      <w:tr>
        <w:tc>
          <w:tcPr>
            <w:tcW w:type="dxa" w:w="1700"/>
            <w:shd w:fill="F2F5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assets</w:t>
            </w:r>
          </w:p>
        </w:tc>
        <w:tc>
          <w:tcPr>
            <w:tcW w:type="dxa" w:w="5100"/>
            <w:shd w:fill="F2F5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identifier_normalized (unique actif), type, brand, model, trust_level (F1-F3), life_status, provisional_until, owner_id, registered_at</w:t>
            </w:r>
          </w:p>
        </w:tc>
        <w:tc>
          <w:tcPr>
            <w:tcW w:type="dxa" w:w="2800"/>
            <w:shd w:fill="F2F5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Index unique partiel sur identifiant actif</w:t>
            </w:r>
          </w:p>
        </w:tc>
      </w:tr>
      <w:tr>
        <w:tc>
          <w:tcPr>
            <w:tcW w:type="dxa" w:w="1700"/>
            <w:tcMar>
              <w:top w:type="dxa" w:w="70"/>
              <w:left w:type="dxa" w:w="110"/>
              <w:bottom w:type="dxa" w:w="70"/>
              <w:right w:type="dxa" w:w="110"/>
            </w:tcMar>
          </w:tcPr>
          <w:p>
            <w:r>
              <w:rPr>
                <w:rFonts w:ascii="Calibri" w:cs="Calibri" w:eastAsia="Calibri" w:hAnsi="Calibri"/>
                <w:b w:val="false"/>
                <w:bCs w:val="false"/>
                <w:color w:val="1A1A1A"/>
                <w:sz w:val="19"/>
                <w:szCs w:val="19"/>
              </w:rPr>
              <w:t xml:space="preserve">asset_documents</w:t>
            </w:r>
          </w:p>
        </w:tc>
        <w:tc>
          <w:tcPr>
            <w:tcW w:type="dxa" w:w="5100"/>
            <w:tcMar>
              <w:top w:type="dxa" w:w="70"/>
              <w:left w:type="dxa" w:w="110"/>
              <w:bottom w:type="dxa" w:w="70"/>
              <w:right w:type="dxa" w:w="110"/>
            </w:tcMar>
          </w:tcPr>
          <w:p>
            <w:r>
              <w:rPr>
                <w:rFonts w:ascii="Calibri" w:cs="Calibri" w:eastAsia="Calibri" w:hAnsi="Calibri"/>
                <w:b w:val="false"/>
                <w:bCs w:val="false"/>
                <w:color w:val="1A1A1A"/>
                <w:sz w:val="19"/>
                <w:szCs w:val="19"/>
              </w:rPr>
              <w:t xml:space="preserve">asset_id, type (facture/carte grise/ACD/récépissé), file_ref, ocr_payload, review_status</w:t>
            </w:r>
          </w:p>
        </w:tc>
        <w:tc>
          <w:tcPr>
            <w:tcW w:type="dxa" w:w="2800"/>
            <w:tcMar>
              <w:top w:type="dxa" w:w="70"/>
              <w:left w:type="dxa" w:w="110"/>
              <w:bottom w:type="dxa" w:w="70"/>
              <w:right w:type="dxa" w:w="110"/>
            </w:tcMar>
          </w:tcPr>
          <w:p>
            <w:r>
              <w:rPr>
                <w:rFonts w:ascii="Calibri" w:cs="Calibri" w:eastAsia="Calibri" w:hAnsi="Calibri"/>
                <w:b w:val="false"/>
                <w:bCs w:val="false"/>
                <w:color w:val="1A1A1A"/>
                <w:sz w:val="19"/>
                <w:szCs w:val="19"/>
              </w:rPr>
              <w:t xml:space="preserve">MinIO + métadonnées OCR</w:t>
            </w:r>
          </w:p>
        </w:tc>
      </w:tr>
      <w:tr>
        <w:tc>
          <w:tcPr>
            <w:tcW w:type="dxa" w:w="1700"/>
            <w:shd w:fill="F2F5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transfers</w:t>
            </w:r>
          </w:p>
        </w:tc>
        <w:tc>
          <w:tcPr>
            <w:tcW w:type="dxa" w:w="5100"/>
            <w:shd w:fill="F2F5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asset_id, from_user, to_user, status, otp_seller_at, otp_buyer_at, expires_at</w:t>
            </w:r>
          </w:p>
        </w:tc>
        <w:tc>
          <w:tcPr>
            <w:tcW w:type="dxa" w:w="2800"/>
            <w:shd w:fill="F2F5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Machine à états V-VTE</w:t>
            </w:r>
          </w:p>
        </w:tc>
      </w:tr>
      <w:tr>
        <w:tc>
          <w:tcPr>
            <w:tcW w:type="dxa" w:w="1700"/>
            <w:tcMar>
              <w:top w:type="dxa" w:w="70"/>
              <w:left w:type="dxa" w:w="110"/>
              <w:bottom w:type="dxa" w:w="70"/>
              <w:right w:type="dxa" w:w="110"/>
            </w:tcMar>
          </w:tcPr>
          <w:p>
            <w:r>
              <w:rPr>
                <w:rFonts w:ascii="Calibri" w:cs="Calibri" w:eastAsia="Calibri" w:hAnsi="Calibri"/>
                <w:b w:val="false"/>
                <w:bCs w:val="false"/>
                <w:color w:val="1A1A1A"/>
                <w:sz w:val="19"/>
                <w:szCs w:val="19"/>
              </w:rPr>
              <w:t xml:space="preserve">claims</w:t>
            </w:r>
          </w:p>
        </w:tc>
        <w:tc>
          <w:tcPr>
            <w:tcW w:type="dxa" w:w="5100"/>
            <w:tcMar>
              <w:top w:type="dxa" w:w="70"/>
              <w:left w:type="dxa" w:w="110"/>
              <w:bottom w:type="dxa" w:w="70"/>
              <w:right w:type="dxa" w:w="110"/>
            </w:tcMar>
          </w:tcPr>
          <w:p>
            <w:r>
              <w:rPr>
                <w:rFonts w:ascii="Calibri" w:cs="Calibri" w:eastAsia="Calibri" w:hAnsi="Calibri"/>
                <w:b w:val="false"/>
                <w:bCs w:val="false"/>
                <w:color w:val="1A1A1A"/>
                <w:sz w:val="19"/>
                <w:szCs w:val="19"/>
              </w:rPr>
              <w:t xml:space="preserve">asset_id, claimant_id, status, fee_payment_id, decision, decided_by, appeal_of</w:t>
            </w:r>
          </w:p>
        </w:tc>
        <w:tc>
          <w:tcPr>
            <w:tcW w:type="dxa" w:w="2800"/>
            <w:tcMar>
              <w:top w:type="dxa" w:w="70"/>
              <w:left w:type="dxa" w:w="110"/>
              <w:bottom w:type="dxa" w:w="70"/>
              <w:right w:type="dxa" w:w="110"/>
            </w:tcMar>
          </w:tcPr>
          <w:p>
            <w:r>
              <w:rPr>
                <w:rFonts w:ascii="Calibri" w:cs="Calibri" w:eastAsia="Calibri" w:hAnsi="Calibri"/>
                <w:b w:val="false"/>
                <w:bCs w:val="false"/>
                <w:color w:val="1A1A1A"/>
                <w:sz w:val="19"/>
                <w:szCs w:val="19"/>
              </w:rPr>
              <w:t xml:space="preserve">Litiges</w:t>
            </w:r>
          </w:p>
        </w:tc>
      </w:tr>
      <w:tr>
        <w:tc>
          <w:tcPr>
            <w:tcW w:type="dxa" w:w="1700"/>
            <w:shd w:fill="F2F5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claim_evidences</w:t>
            </w:r>
          </w:p>
        </w:tc>
        <w:tc>
          <w:tcPr>
            <w:tcW w:type="dxa" w:w="5100"/>
            <w:shd w:fill="F2F5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claim_id, party, type, weight_applied, file_ref</w:t>
            </w:r>
          </w:p>
        </w:tc>
        <w:tc>
          <w:tcPr>
            <w:tcW w:type="dxa" w:w="2800"/>
            <w:shd w:fill="F2F5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Grille §5.2 appliquée</w:t>
            </w:r>
          </w:p>
        </w:tc>
      </w:tr>
      <w:tr>
        <w:tc>
          <w:tcPr>
            <w:tcW w:type="dxa" w:w="1700"/>
            <w:tcMar>
              <w:top w:type="dxa" w:w="70"/>
              <w:left w:type="dxa" w:w="110"/>
              <w:bottom w:type="dxa" w:w="70"/>
              <w:right w:type="dxa" w:w="110"/>
            </w:tcMar>
          </w:tcPr>
          <w:p>
            <w:r>
              <w:rPr>
                <w:rFonts w:ascii="Calibri" w:cs="Calibri" w:eastAsia="Calibri" w:hAnsi="Calibri"/>
                <w:b w:val="false"/>
                <w:bCs w:val="false"/>
                <w:color w:val="1A1A1A"/>
                <w:sz w:val="19"/>
                <w:szCs w:val="19"/>
              </w:rPr>
              <w:t xml:space="preserve">watch_alerts</w:t>
            </w:r>
          </w:p>
        </w:tc>
        <w:tc>
          <w:tcPr>
            <w:tcW w:type="dxa" w:w="5100"/>
            <w:tcMar>
              <w:top w:type="dxa" w:w="70"/>
              <w:left w:type="dxa" w:w="110"/>
              <w:bottom w:type="dxa" w:w="70"/>
              <w:right w:type="dxa" w:w="110"/>
            </w:tcMar>
          </w:tcPr>
          <w:p>
            <w:r>
              <w:rPr>
                <w:rFonts w:ascii="Calibri" w:cs="Calibri" w:eastAsia="Calibri" w:hAnsi="Calibri"/>
                <w:b w:val="false"/>
                <w:bCs w:val="false"/>
                <w:color w:val="1A1A1A"/>
                <w:sz w:val="19"/>
                <w:szCs w:val="19"/>
              </w:rPr>
              <w:t xml:space="preserve">user_id, identifier, channel</w:t>
            </w:r>
          </w:p>
        </w:tc>
        <w:tc>
          <w:tcPr>
            <w:tcW w:type="dxa" w:w="2800"/>
            <w:tcMar>
              <w:top w:type="dxa" w:w="70"/>
              <w:left w:type="dxa" w:w="110"/>
              <w:bottom w:type="dxa" w:w="70"/>
              <w:right w:type="dxa" w:w="110"/>
            </w:tcMar>
          </w:tcPr>
          <w:p>
            <w:r>
              <w:rPr>
                <w:rFonts w:ascii="Calibri" w:cs="Calibri" w:eastAsia="Calibri" w:hAnsi="Calibri"/>
                <w:b w:val="false"/>
                <w:bCs w:val="false"/>
                <w:color w:val="1A1A1A"/>
                <w:sz w:val="19"/>
                <w:szCs w:val="19"/>
              </w:rPr>
              <w:t xml:space="preserve">Veille identifiants</w:t>
            </w:r>
          </w:p>
        </w:tc>
      </w:tr>
      <w:tr>
        <w:tc>
          <w:tcPr>
            <w:tcW w:type="dxa" w:w="1700"/>
            <w:shd w:fill="F2F5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audit_log</w:t>
            </w:r>
          </w:p>
        </w:tc>
        <w:tc>
          <w:tcPr>
            <w:tcW w:type="dxa" w:w="5100"/>
            <w:shd w:fill="F2F5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actor, action, entity, payload_hash, prev_hash, created_at</w:t>
            </w:r>
          </w:p>
        </w:tc>
        <w:tc>
          <w:tcPr>
            <w:tcW w:type="dxa" w:w="2800"/>
            <w:shd w:fill="F2F5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Chaîne SHA-256 (§7.4)</w:t>
            </w:r>
          </w:p>
        </w:tc>
      </w:tr>
      <w:tr>
        <w:tc>
          <w:tcPr>
            <w:tcW w:type="dxa" w:w="1700"/>
            <w:tcMar>
              <w:top w:type="dxa" w:w="70"/>
              <w:left w:type="dxa" w:w="110"/>
              <w:bottom w:type="dxa" w:w="70"/>
              <w:right w:type="dxa" w:w="110"/>
            </w:tcMar>
          </w:tcPr>
          <w:p>
            <w:r>
              <w:rPr>
                <w:rFonts w:ascii="Calibri" w:cs="Calibri" w:eastAsia="Calibri" w:hAnsi="Calibri"/>
                <w:b w:val="false"/>
                <w:bCs w:val="false"/>
                <w:color w:val="1A1A1A"/>
                <w:sz w:val="19"/>
                <w:szCs w:val="19"/>
              </w:rPr>
              <w:t xml:space="preserve">lookups</w:t>
            </w:r>
          </w:p>
        </w:tc>
        <w:tc>
          <w:tcPr>
            <w:tcW w:type="dxa" w:w="5100"/>
            <w:tcMar>
              <w:top w:type="dxa" w:w="70"/>
              <w:left w:type="dxa" w:w="110"/>
              <w:bottom w:type="dxa" w:w="70"/>
              <w:right w:type="dxa" w:w="110"/>
            </w:tcMar>
          </w:tcPr>
          <w:p>
            <w:r>
              <w:rPr>
                <w:rFonts w:ascii="Calibri" w:cs="Calibri" w:eastAsia="Calibri" w:hAnsi="Calibri"/>
                <w:b w:val="false"/>
                <w:bCs w:val="false"/>
                <w:color w:val="1A1A1A"/>
                <w:sz w:val="19"/>
                <w:szCs w:val="19"/>
              </w:rPr>
              <w:t xml:space="preserve">identifier, ip_hash, user_id?, created_at</w:t>
            </w:r>
          </w:p>
        </w:tc>
        <w:tc>
          <w:tcPr>
            <w:tcW w:type="dxa" w:w="2800"/>
            <w:tcMar>
              <w:top w:type="dxa" w:w="70"/>
              <w:left w:type="dxa" w:w="110"/>
              <w:bottom w:type="dxa" w:w="70"/>
              <w:right w:type="dxa" w:w="110"/>
            </w:tcMar>
          </w:tcPr>
          <w:p>
            <w:r>
              <w:rPr>
                <w:rFonts w:ascii="Calibri" w:cs="Calibri" w:eastAsia="Calibri" w:hAnsi="Calibri"/>
                <w:b w:val="false"/>
                <w:bCs w:val="false"/>
                <w:color w:val="1A1A1A"/>
                <w:sz w:val="19"/>
                <w:szCs w:val="19"/>
              </w:rPr>
              <w:t xml:space="preserve">Anti-profilage + signal « pic de consultations »</w:t>
            </w:r>
          </w:p>
        </w:tc>
      </w:tr>
    </w:tbl>
    <w:p>
      <w:pPr>
        <w:pStyle w:val="Heading2"/>
        <w:spacing w:after="140" w:before="280"/>
      </w:pPr>
      <w:r>
        <w:rPr>
          <w:rFonts w:ascii="Calibri" w:cs="Calibri" w:eastAsia="Calibri" w:hAnsi="Calibri"/>
          <w:b/>
          <w:bCs/>
          <w:color w:val="D97706"/>
          <w:sz w:val="26"/>
          <w:szCs w:val="26"/>
        </w:rPr>
        <w:t xml:space="preserve">7.3 Surface API (extraits)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4200"/>
      </w:tblGrid>
      <w:tr>
        <w:trPr>
          <w:tblHeader/>
        </w:trPr>
        <w:tc>
          <w:tcPr>
            <w:tcW w:type="dxa" w:w="1200"/>
            <w:shd w:fill="0B2545" w:val="clear"/>
            <w:tcMar>
              <w:top w:type="dxa" w:w="70"/>
              <w:left w:type="dxa" w:w="110"/>
              <w:bottom w:type="dxa" w:w="70"/>
              <w:right w:type="dxa" w:w="110"/>
            </w:tcMar>
          </w:tcPr>
          <w:p>
            <w:r>
              <w:rPr>
                <w:rFonts w:ascii="Calibri" w:cs="Calibri" w:eastAsia="Calibri" w:hAnsi="Calibri"/>
                <w:b/>
                <w:bCs/>
                <w:color w:val="FFFFFF"/>
                <w:sz w:val="19"/>
                <w:szCs w:val="19"/>
              </w:rPr>
              <w:t xml:space="preserve">Méthode</w:t>
            </w:r>
          </w:p>
        </w:tc>
        <w:tc>
          <w:tcPr>
            <w:tcW w:type="dxa" w:w="4200"/>
            <w:shd w:fill="0B2545" w:val="clear"/>
            <w:tcMar>
              <w:top w:type="dxa" w:w="70"/>
              <w:left w:type="dxa" w:w="110"/>
              <w:bottom w:type="dxa" w:w="70"/>
              <w:right w:type="dxa" w:w="110"/>
            </w:tcMar>
          </w:tcPr>
          <w:p>
            <w:r>
              <w:rPr>
                <w:rFonts w:ascii="Calibri" w:cs="Calibri" w:eastAsia="Calibri" w:hAnsi="Calibri"/>
                <w:b/>
                <w:bCs/>
                <w:color w:val="FFFFFF"/>
                <w:sz w:val="19"/>
                <w:szCs w:val="19"/>
              </w:rPr>
              <w:t xml:space="preserve">Endpoint</w:t>
            </w:r>
          </w:p>
        </w:tc>
        <w:tc>
          <w:tcPr>
            <w:tcW w:type="dxa" w:w="4200"/>
            <w:shd w:fill="0B2545" w:val="clear"/>
            <w:tcMar>
              <w:top w:type="dxa" w:w="70"/>
              <w:left w:type="dxa" w:w="110"/>
              <w:bottom w:type="dxa" w:w="70"/>
              <w:right w:type="dxa" w:w="110"/>
            </w:tcMar>
          </w:tcPr>
          <w:p>
            <w:r>
              <w:rPr>
                <w:rFonts w:ascii="Calibri" w:cs="Calibri" w:eastAsia="Calibri" w:hAnsi="Calibri"/>
                <w:b/>
                <w:bCs/>
                <w:color w:val="FFFFFF"/>
                <w:sz w:val="19"/>
                <w:szCs w:val="19"/>
              </w:rPr>
              <w:t xml:space="preserve">Usage</w:t>
            </w:r>
          </w:p>
        </w:tc>
      </w:tr>
      <w:tr>
        <w:tc>
          <w:tcPr>
            <w:tcW w:type="dxa" w:w="1200"/>
            <w:tcMar>
              <w:top w:type="dxa" w:w="70"/>
              <w:left w:type="dxa" w:w="110"/>
              <w:bottom w:type="dxa" w:w="70"/>
              <w:right w:type="dxa" w:w="110"/>
            </w:tcMar>
          </w:tcPr>
          <w:p>
            <w:r>
              <w:rPr>
                <w:rFonts w:ascii="Calibri" w:cs="Calibri" w:eastAsia="Calibri" w:hAnsi="Calibri"/>
                <w:b w:val="false"/>
                <w:bCs w:val="false"/>
                <w:color w:val="1A1A1A"/>
                <w:sz w:val="19"/>
                <w:szCs w:val="19"/>
              </w:rPr>
              <w:t xml:space="preserve">GET</w:t>
            </w:r>
          </w:p>
        </w:tc>
        <w:tc>
          <w:tcPr>
            <w:tcW w:type="dxa" w:w="4200"/>
            <w:tcMar>
              <w:top w:type="dxa" w:w="70"/>
              <w:left w:type="dxa" w:w="110"/>
              <w:bottom w:type="dxa" w:w="70"/>
              <w:right w:type="dxa" w:w="110"/>
            </w:tcMar>
          </w:tcPr>
          <w:p>
            <w:r>
              <w:rPr>
                <w:rFonts w:ascii="Calibri" w:cs="Calibri" w:eastAsia="Calibri" w:hAnsi="Calibri"/>
                <w:b w:val="false"/>
                <w:bCs w:val="false"/>
                <w:color w:val="1A1A1A"/>
                <w:sz w:val="19"/>
                <w:szCs w:val="19"/>
              </w:rPr>
              <w:t xml:space="preserve">/api/v1/lookup/{identifier}</w:t>
            </w:r>
          </w:p>
        </w:tc>
        <w:tc>
          <w:tcPr>
            <w:tcW w:type="dxa" w:w="4200"/>
            <w:tcMar>
              <w:top w:type="dxa" w:w="70"/>
              <w:left w:type="dxa" w:w="110"/>
              <w:bottom w:type="dxa" w:w="70"/>
              <w:right w:type="dxa" w:w="110"/>
            </w:tcMar>
          </w:tcPr>
          <w:p>
            <w:r>
              <w:rPr>
                <w:rFonts w:ascii="Calibri" w:cs="Calibri" w:eastAsia="Calibri" w:hAnsi="Calibri"/>
                <w:b w:val="false"/>
                <w:bCs w:val="false"/>
                <w:color w:val="1A1A1A"/>
                <w:sz w:val="19"/>
                <w:szCs w:val="19"/>
              </w:rPr>
              <w:t xml:space="preserve">Statut public (sans auth, rate-limited)</w:t>
            </w:r>
          </w:p>
        </w:tc>
      </w:tr>
      <w:tr>
        <w:tc>
          <w:tcPr>
            <w:tcW w:type="dxa" w:w="1200"/>
            <w:shd w:fill="F2F5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POST</w:t>
            </w:r>
          </w:p>
        </w:tc>
        <w:tc>
          <w:tcPr>
            <w:tcW w:type="dxa" w:w="4200"/>
            <w:shd w:fill="F2F5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/api/v1/assets</w:t>
            </w:r>
          </w:p>
        </w:tc>
        <w:tc>
          <w:tcPr>
            <w:tcW w:type="dxa" w:w="4200"/>
            <w:shd w:fill="F2F5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Enregistrement express (F1)</w:t>
            </w:r>
          </w:p>
        </w:tc>
      </w:tr>
      <w:tr>
        <w:tc>
          <w:tcPr>
            <w:tcW w:type="dxa" w:w="1200"/>
            <w:tcMar>
              <w:top w:type="dxa" w:w="70"/>
              <w:left w:type="dxa" w:w="110"/>
              <w:bottom w:type="dxa" w:w="70"/>
              <w:right w:type="dxa" w:w="110"/>
            </w:tcMar>
          </w:tcPr>
          <w:p>
            <w:r>
              <w:rPr>
                <w:rFonts w:ascii="Calibri" w:cs="Calibri" w:eastAsia="Calibri" w:hAnsi="Calibri"/>
                <w:b w:val="false"/>
                <w:bCs w:val="false"/>
                <w:color w:val="1A1A1A"/>
                <w:sz w:val="19"/>
                <w:szCs w:val="19"/>
              </w:rPr>
              <w:t xml:space="preserve">POST</w:t>
            </w:r>
          </w:p>
        </w:tc>
        <w:tc>
          <w:tcPr>
            <w:tcW w:type="dxa" w:w="4200"/>
            <w:tcMar>
              <w:top w:type="dxa" w:w="70"/>
              <w:left w:type="dxa" w:w="110"/>
              <w:bottom w:type="dxa" w:w="70"/>
              <w:right w:type="dxa" w:w="110"/>
            </w:tcMar>
          </w:tcPr>
          <w:p>
            <w:r>
              <w:rPr>
                <w:rFonts w:ascii="Calibri" w:cs="Calibri" w:eastAsia="Calibri" w:hAnsi="Calibri"/>
                <w:b w:val="false"/>
                <w:bCs w:val="false"/>
                <w:color w:val="1A1A1A"/>
                <w:sz w:val="19"/>
                <w:szCs w:val="19"/>
              </w:rPr>
              <w:t xml:space="preserve">/api/v1/assets/{id}/documents</w:t>
            </w:r>
          </w:p>
        </w:tc>
        <w:tc>
          <w:tcPr>
            <w:tcW w:type="dxa" w:w="4200"/>
            <w:tcMar>
              <w:top w:type="dxa" w:w="70"/>
              <w:left w:type="dxa" w:w="110"/>
              <w:bottom w:type="dxa" w:w="70"/>
              <w:right w:type="dxa" w:w="110"/>
            </w:tcMar>
          </w:tcPr>
          <w:p>
            <w:r>
              <w:rPr>
                <w:rFonts w:ascii="Calibri" w:cs="Calibri" w:eastAsia="Calibri" w:hAnsi="Calibri"/>
                <w:b w:val="false"/>
                <w:bCs w:val="false"/>
                <w:color w:val="1A1A1A"/>
                <w:sz w:val="19"/>
                <w:szCs w:val="19"/>
              </w:rPr>
              <w:t xml:space="preserve">Renforcement F2 (justificatifs)</w:t>
            </w:r>
          </w:p>
        </w:tc>
      </w:tr>
      <w:tr>
        <w:tc>
          <w:tcPr>
            <w:tcW w:type="dxa" w:w="1200"/>
            <w:shd w:fill="F2F5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POST</w:t>
            </w:r>
          </w:p>
        </w:tc>
        <w:tc>
          <w:tcPr>
            <w:tcW w:type="dxa" w:w="4200"/>
            <w:shd w:fill="F2F5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/api/v1/assets/{id}/stolen</w:t>
            </w:r>
          </w:p>
        </w:tc>
        <w:tc>
          <w:tcPr>
            <w:tcW w:type="dxa" w:w="4200"/>
            <w:shd w:fill="F2F5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Déclaration de vol (OTP)</w:t>
            </w:r>
          </w:p>
        </w:tc>
      </w:tr>
      <w:tr>
        <w:tc>
          <w:tcPr>
            <w:tcW w:type="dxa" w:w="1200"/>
            <w:tcMar>
              <w:top w:type="dxa" w:w="70"/>
              <w:left w:type="dxa" w:w="110"/>
              <w:bottom w:type="dxa" w:w="70"/>
              <w:right w:type="dxa" w:w="110"/>
            </w:tcMar>
          </w:tcPr>
          <w:p>
            <w:r>
              <w:rPr>
                <w:rFonts w:ascii="Calibri" w:cs="Calibri" w:eastAsia="Calibri" w:hAnsi="Calibri"/>
                <w:b w:val="false"/>
                <w:bCs w:val="false"/>
                <w:color w:val="1A1A1A"/>
                <w:sz w:val="19"/>
                <w:szCs w:val="19"/>
              </w:rPr>
              <w:t xml:space="preserve">POST</w:t>
            </w:r>
          </w:p>
        </w:tc>
        <w:tc>
          <w:tcPr>
            <w:tcW w:type="dxa" w:w="4200"/>
            <w:tcMar>
              <w:top w:type="dxa" w:w="70"/>
              <w:left w:type="dxa" w:w="110"/>
              <w:bottom w:type="dxa" w:w="70"/>
              <w:right w:type="dxa" w:w="110"/>
            </w:tcMar>
          </w:tcPr>
          <w:p>
            <w:r>
              <w:rPr>
                <w:rFonts w:ascii="Calibri" w:cs="Calibri" w:eastAsia="Calibri" w:hAnsi="Calibri"/>
                <w:b w:val="false"/>
                <w:bCs w:val="false"/>
                <w:color w:val="1A1A1A"/>
                <w:sz w:val="19"/>
                <w:szCs w:val="19"/>
              </w:rPr>
              <w:t xml:space="preserve">/api/v1/assets/{id}/transfer</w:t>
            </w:r>
          </w:p>
        </w:tc>
        <w:tc>
          <w:tcPr>
            <w:tcW w:type="dxa" w:w="4200"/>
            <w:tcMar>
              <w:top w:type="dxa" w:w="70"/>
              <w:left w:type="dxa" w:w="110"/>
              <w:bottom w:type="dxa" w:w="70"/>
              <w:right w:type="dxa" w:w="110"/>
            </w:tcMar>
          </w:tcPr>
          <w:p>
            <w:r>
              <w:rPr>
                <w:rFonts w:ascii="Calibri" w:cs="Calibri" w:eastAsia="Calibri" w:hAnsi="Calibri"/>
                <w:b w:val="false"/>
                <w:bCs w:val="false"/>
                <w:color w:val="1A1A1A"/>
                <w:sz w:val="19"/>
                <w:szCs w:val="19"/>
              </w:rPr>
              <w:t xml:space="preserve">Initiation transfert</w:t>
            </w:r>
          </w:p>
        </w:tc>
      </w:tr>
      <w:tr>
        <w:tc>
          <w:tcPr>
            <w:tcW w:type="dxa" w:w="1200"/>
            <w:shd w:fill="F2F5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POST</w:t>
            </w:r>
          </w:p>
        </w:tc>
        <w:tc>
          <w:tcPr>
            <w:tcW w:type="dxa" w:w="4200"/>
            <w:shd w:fill="F2F5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/api/v1/transfers/{id}/confirm</w:t>
            </w:r>
          </w:p>
        </w:tc>
        <w:tc>
          <w:tcPr>
            <w:tcW w:type="dxa" w:w="4200"/>
            <w:shd w:fill="F2F5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Confirmation acheteur/vendeur (OTP)</w:t>
            </w:r>
          </w:p>
        </w:tc>
      </w:tr>
      <w:tr>
        <w:tc>
          <w:tcPr>
            <w:tcW w:type="dxa" w:w="1200"/>
            <w:tcMar>
              <w:top w:type="dxa" w:w="70"/>
              <w:left w:type="dxa" w:w="110"/>
              <w:bottom w:type="dxa" w:w="70"/>
              <w:right w:type="dxa" w:w="110"/>
            </w:tcMar>
          </w:tcPr>
          <w:p>
            <w:r>
              <w:rPr>
                <w:rFonts w:ascii="Calibri" w:cs="Calibri" w:eastAsia="Calibri" w:hAnsi="Calibri"/>
                <w:b w:val="false"/>
                <w:bCs w:val="false"/>
                <w:color w:val="1A1A1A"/>
                <w:sz w:val="19"/>
                <w:szCs w:val="19"/>
              </w:rPr>
              <w:t xml:space="preserve">POST</w:t>
            </w:r>
          </w:p>
        </w:tc>
        <w:tc>
          <w:tcPr>
            <w:tcW w:type="dxa" w:w="4200"/>
            <w:tcMar>
              <w:top w:type="dxa" w:w="70"/>
              <w:left w:type="dxa" w:w="110"/>
              <w:bottom w:type="dxa" w:w="70"/>
              <w:right w:type="dxa" w:w="110"/>
            </w:tcMar>
          </w:tcPr>
          <w:p>
            <w:r>
              <w:rPr>
                <w:rFonts w:ascii="Calibri" w:cs="Calibri" w:eastAsia="Calibri" w:hAnsi="Calibri"/>
                <w:b w:val="false"/>
                <w:bCs w:val="false"/>
                <w:color w:val="1A1A1A"/>
                <w:sz w:val="19"/>
                <w:szCs w:val="19"/>
              </w:rPr>
              <w:t xml:space="preserve">/api/v1/claims</w:t>
            </w:r>
          </w:p>
        </w:tc>
        <w:tc>
          <w:tcPr>
            <w:tcW w:type="dxa" w:w="4200"/>
            <w:tcMar>
              <w:top w:type="dxa" w:w="70"/>
              <w:left w:type="dxa" w:w="110"/>
              <w:bottom w:type="dxa" w:w="70"/>
              <w:right w:type="dxa" w:w="110"/>
            </w:tcMar>
          </w:tcPr>
          <w:p>
            <w:r>
              <w:rPr>
                <w:rFonts w:ascii="Calibri" w:cs="Calibri" w:eastAsia="Calibri" w:hAnsi="Calibri"/>
                <w:b w:val="false"/>
                <w:bCs w:val="false"/>
                <w:color w:val="1A1A1A"/>
                <w:sz w:val="19"/>
                <w:szCs w:val="19"/>
              </w:rPr>
              <w:t xml:space="preserve">Dépôt de réclamation</w:t>
            </w:r>
          </w:p>
        </w:tc>
      </w:tr>
      <w:tr>
        <w:tc>
          <w:tcPr>
            <w:tcW w:type="dxa" w:w="1200"/>
            <w:shd w:fill="F2F5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POST</w:t>
            </w:r>
          </w:p>
        </w:tc>
        <w:tc>
          <w:tcPr>
            <w:tcW w:type="dxa" w:w="4200"/>
            <w:shd w:fill="F2F5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/api/v1/reports/{identifier}</w:t>
            </w:r>
          </w:p>
        </w:tc>
        <w:tc>
          <w:tcPr>
            <w:tcW w:type="dxa" w:w="4200"/>
            <w:shd w:fill="F2F5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Achat rapport détaillé</w:t>
            </w:r>
          </w:p>
        </w:tc>
      </w:tr>
      <w:tr>
        <w:tc>
          <w:tcPr>
            <w:tcW w:type="dxa" w:w="1200"/>
            <w:tcMar>
              <w:top w:type="dxa" w:w="70"/>
              <w:left w:type="dxa" w:w="110"/>
              <w:bottom w:type="dxa" w:w="70"/>
              <w:right w:type="dxa" w:w="110"/>
            </w:tcMar>
          </w:tcPr>
          <w:p>
            <w:r>
              <w:rPr>
                <w:rFonts w:ascii="Calibri" w:cs="Calibri" w:eastAsia="Calibri" w:hAnsi="Calibri"/>
                <w:b w:val="false"/>
                <w:bCs w:val="false"/>
                <w:color w:val="1A1A1A"/>
                <w:sz w:val="19"/>
                <w:szCs w:val="19"/>
              </w:rPr>
              <w:t xml:space="preserve">POST</w:t>
            </w:r>
          </w:p>
        </w:tc>
        <w:tc>
          <w:tcPr>
            <w:tcW w:type="dxa" w:w="4200"/>
            <w:tcMar>
              <w:top w:type="dxa" w:w="70"/>
              <w:left w:type="dxa" w:w="110"/>
              <w:bottom w:type="dxa" w:w="70"/>
              <w:right w:type="dxa" w:w="110"/>
            </w:tcMar>
          </w:tcPr>
          <w:p>
            <w:r>
              <w:rPr>
                <w:rFonts w:ascii="Calibri" w:cs="Calibri" w:eastAsia="Calibri" w:hAnsi="Calibri"/>
                <w:b w:val="false"/>
                <w:bCs w:val="false"/>
                <w:color w:val="1A1A1A"/>
                <w:sz w:val="19"/>
                <w:szCs w:val="19"/>
              </w:rPr>
              <w:t xml:space="preserve">/api/v1/fleet/import</w:t>
            </w:r>
          </w:p>
        </w:tc>
        <w:tc>
          <w:tcPr>
            <w:tcW w:type="dxa" w:w="4200"/>
            <w:tcMar>
              <w:top w:type="dxa" w:w="70"/>
              <w:left w:type="dxa" w:w="110"/>
              <w:bottom w:type="dxa" w:w="70"/>
              <w:right w:type="dxa" w:w="110"/>
            </w:tcMar>
          </w:tcPr>
          <w:p>
            <w:r>
              <w:rPr>
                <w:rFonts w:ascii="Calibri" w:cs="Calibri" w:eastAsia="Calibri" w:hAnsi="Calibri"/>
                <w:b w:val="false"/>
                <w:bCs w:val="false"/>
                <w:color w:val="1A1A1A"/>
                <w:sz w:val="19"/>
                <w:szCs w:val="19"/>
              </w:rPr>
              <w:t xml:space="preserve">Import flotte loueur (Excel/CSV)</w:t>
            </w:r>
          </w:p>
        </w:tc>
      </w:tr>
    </w:tbl>
    <w:p>
      <w:pPr>
        <w:pStyle w:val="Heading2"/>
        <w:spacing w:after="140" w:before="280"/>
      </w:pPr>
      <w:r>
        <w:rPr>
          <w:rFonts w:ascii="Calibri" w:cs="Calibri" w:eastAsia="Calibri" w:hAnsi="Calibri"/>
          <w:b/>
          <w:bCs/>
          <w:color w:val="D97706"/>
          <w:sz w:val="26"/>
          <w:szCs w:val="26"/>
        </w:rPr>
        <w:t xml:space="preserve">7.4 Intégrité et inaltérabilité</w:t>
      </w:r>
    </w:p>
    <w:p>
      <w:pPr>
        <w:spacing w:after="130" w:line="270"/>
        <w:jc w:val="both"/>
      </w:pPr>
      <w:r>
        <w:rPr>
          <w:rFonts w:ascii="Calibri" w:cs="Calibri" w:eastAsia="Calibri" w:hAnsi="Calibri"/>
          <w:b w:val="false"/>
          <w:bCs w:val="false"/>
          <w:i w:val="false"/>
          <w:iCs w:val="false"/>
          <w:color w:val="1A1A1A"/>
          <w:sz w:val="22"/>
          <w:szCs w:val="22"/>
        </w:rPr>
        <w:t xml:space="preserve">Chaque écriture sensible (création de bien, transition de statut, transfert, pièce de litige, décision) produit une entrée d'audit contenant le hash SHA-256 du payload et le hash de l'entrée précédente (chaînage). Un job quotidien ancre le hash de tête dans un journal externe (e-mail horodaté + stockage séparé). Objectif : rendre le dossier opposable comme commencement de preuve sans blockchain.</w:t>
      </w:r>
    </w:p>
    <w:p>
      <w:pPr>
        <w:pStyle w:val="Heading1"/>
        <w:spacing w:after="180" w:before="360"/>
      </w:pPr>
      <w:r>
        <w:rPr>
          <w:rFonts w:ascii="Calibri" w:cs="Calibri" w:eastAsia="Calibri" w:hAnsi="Calibri"/>
          <w:b/>
          <w:bCs/>
          <w:color w:val="0B2545"/>
          <w:sz w:val="32"/>
          <w:szCs w:val="32"/>
        </w:rPr>
        <w:t xml:space="preserve">8. Exigences non fonctionnelles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900"/>
        <w:gridCol w:w="7700"/>
      </w:tblGrid>
      <w:tr>
        <w:trPr>
          <w:tblHeader/>
        </w:trPr>
        <w:tc>
          <w:tcPr>
            <w:tcW w:type="dxa" w:w="1900"/>
            <w:shd w:fill="0B2545" w:val="clear"/>
            <w:tcMar>
              <w:top w:type="dxa" w:w="70"/>
              <w:left w:type="dxa" w:w="110"/>
              <w:bottom w:type="dxa" w:w="70"/>
              <w:right w:type="dxa" w:w="110"/>
            </w:tcMar>
          </w:tcPr>
          <w:p>
            <w:r>
              <w:rPr>
                <w:rFonts w:ascii="Calibri" w:cs="Calibri" w:eastAsia="Calibri" w:hAnsi="Calibri"/>
                <w:b/>
                <w:bCs/>
                <w:color w:val="FFFFFF"/>
                <w:sz w:val="19"/>
                <w:szCs w:val="19"/>
              </w:rPr>
              <w:t xml:space="preserve">Domaine</w:t>
            </w:r>
          </w:p>
        </w:tc>
        <w:tc>
          <w:tcPr>
            <w:tcW w:type="dxa" w:w="7700"/>
            <w:shd w:fill="0B2545" w:val="clear"/>
            <w:tcMar>
              <w:top w:type="dxa" w:w="70"/>
              <w:left w:type="dxa" w:w="110"/>
              <w:bottom w:type="dxa" w:w="70"/>
              <w:right w:type="dxa" w:w="110"/>
            </w:tcMar>
          </w:tcPr>
          <w:p>
            <w:r>
              <w:rPr>
                <w:rFonts w:ascii="Calibri" w:cs="Calibri" w:eastAsia="Calibri" w:hAnsi="Calibri"/>
                <w:b/>
                <w:bCs/>
                <w:color w:val="FFFFFF"/>
                <w:sz w:val="19"/>
                <w:szCs w:val="19"/>
              </w:rPr>
              <w:t xml:space="preserve">Exigence</w:t>
            </w:r>
          </w:p>
        </w:tc>
      </w:tr>
      <w:tr>
        <w:tc>
          <w:tcPr>
            <w:tcW w:type="dxa" w:w="1900"/>
            <w:tcMar>
              <w:top w:type="dxa" w:w="70"/>
              <w:left w:type="dxa" w:w="110"/>
              <w:bottom w:type="dxa" w:w="70"/>
              <w:right w:type="dxa" w:w="110"/>
            </w:tcMar>
          </w:tcPr>
          <w:p>
            <w:r>
              <w:rPr>
                <w:rFonts w:ascii="Calibri" w:cs="Calibri" w:eastAsia="Calibri" w:hAnsi="Calibri"/>
                <w:b w:val="false"/>
                <w:bCs w:val="false"/>
                <w:color w:val="1A1A1A"/>
                <w:sz w:val="19"/>
                <w:szCs w:val="19"/>
              </w:rPr>
              <w:t xml:space="preserve">Performance</w:t>
            </w:r>
          </w:p>
        </w:tc>
        <w:tc>
          <w:tcPr>
            <w:tcW w:type="dxa" w:w="7700"/>
            <w:tcMar>
              <w:top w:type="dxa" w:w="70"/>
              <w:left w:type="dxa" w:w="110"/>
              <w:bottom w:type="dxa" w:w="70"/>
              <w:right w:type="dxa" w:w="110"/>
            </w:tcMar>
          </w:tcPr>
          <w:p>
            <w:r>
              <w:rPr>
                <w:rFonts w:ascii="Calibri" w:cs="Calibri" w:eastAsia="Calibri" w:hAnsi="Calibri"/>
                <w:b w:val="false"/>
                <w:bCs w:val="false"/>
                <w:color w:val="1A1A1A"/>
                <w:sz w:val="19"/>
                <w:szCs w:val="19"/>
              </w:rPr>
              <w:t xml:space="preserve">Lookup public &lt; 1 s au P95 en 3G ; création de bien &lt; 3 s serveur ; app Flutter &lt; 40 Mo</w:t>
            </w:r>
          </w:p>
        </w:tc>
      </w:tr>
      <w:tr>
        <w:tc>
          <w:tcPr>
            <w:tcW w:type="dxa" w:w="1900"/>
            <w:shd w:fill="F2F5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Disponibilité</w:t>
            </w:r>
          </w:p>
        </w:tc>
        <w:tc>
          <w:tcPr>
            <w:tcW w:type="dxa" w:w="7700"/>
            <w:shd w:fill="F2F5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99,5 % au MVP ; dégradation gracieuse : la consultation reste disponible même si les modules d'écriture sont dégradés</w:t>
            </w:r>
          </w:p>
        </w:tc>
      </w:tr>
      <w:tr>
        <w:tc>
          <w:tcPr>
            <w:tcW w:type="dxa" w:w="1900"/>
            <w:tcMar>
              <w:top w:type="dxa" w:w="70"/>
              <w:left w:type="dxa" w:w="110"/>
              <w:bottom w:type="dxa" w:w="70"/>
              <w:right w:type="dxa" w:w="110"/>
            </w:tcMar>
          </w:tcPr>
          <w:p>
            <w:r>
              <w:rPr>
                <w:rFonts w:ascii="Calibri" w:cs="Calibri" w:eastAsia="Calibri" w:hAnsi="Calibri"/>
                <w:b w:val="false"/>
                <w:bCs w:val="false"/>
                <w:color w:val="1A1A1A"/>
                <w:sz w:val="19"/>
                <w:szCs w:val="19"/>
              </w:rPr>
              <w:t xml:space="preserve">Sécurité</w:t>
            </w:r>
          </w:p>
        </w:tc>
        <w:tc>
          <w:tcPr>
            <w:tcW w:type="dxa" w:w="7700"/>
            <w:tcMar>
              <w:top w:type="dxa" w:w="70"/>
              <w:left w:type="dxa" w:w="110"/>
              <w:bottom w:type="dxa" w:w="70"/>
              <w:right w:type="dxa" w:w="110"/>
            </w:tcMar>
          </w:tcPr>
          <w:p>
            <w:r>
              <w:rPr>
                <w:rFonts w:ascii="Calibri" w:cs="Calibri" w:eastAsia="Calibri" w:hAnsi="Calibri"/>
                <w:b w:val="false"/>
                <w:bCs w:val="false"/>
                <w:color w:val="1A1A1A"/>
                <w:sz w:val="19"/>
                <w:szCs w:val="19"/>
              </w:rPr>
              <w:t xml:space="preserve">OTP sur toute action sensible ; chiffrement TLS + au repos (documents) ; Vault ; verrouillage progressif anti-brute-force ; journaux d'audit inaltérables</w:t>
            </w:r>
          </w:p>
        </w:tc>
      </w:tr>
      <w:tr>
        <w:tc>
          <w:tcPr>
            <w:tcW w:type="dxa" w:w="1900"/>
            <w:shd w:fill="F2F5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Vie privée</w:t>
            </w:r>
          </w:p>
        </w:tc>
        <w:tc>
          <w:tcPr>
            <w:tcW w:type="dxa" w:w="7700"/>
            <w:shd w:fill="F2F5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Minimisation ; identité jamais exposée publiquement ; IP hashées dans lookups ; durées de conservation documentées ; registre de traitements ARTCI</w:t>
            </w:r>
          </w:p>
        </w:tc>
      </w:tr>
      <w:tr>
        <w:tc>
          <w:tcPr>
            <w:tcW w:type="dxa" w:w="1900"/>
            <w:tcMar>
              <w:top w:type="dxa" w:w="70"/>
              <w:left w:type="dxa" w:w="110"/>
              <w:bottom w:type="dxa" w:w="70"/>
              <w:right w:type="dxa" w:w="110"/>
            </w:tcMar>
          </w:tcPr>
          <w:p>
            <w:r>
              <w:rPr>
                <w:rFonts w:ascii="Calibri" w:cs="Calibri" w:eastAsia="Calibri" w:hAnsi="Calibri"/>
                <w:b w:val="false"/>
                <w:bCs w:val="false"/>
                <w:color w:val="1A1A1A"/>
                <w:sz w:val="19"/>
                <w:szCs w:val="19"/>
              </w:rPr>
              <w:t xml:space="preserve">Accessibilité</w:t>
            </w:r>
          </w:p>
        </w:tc>
        <w:tc>
          <w:tcPr>
            <w:tcW w:type="dxa" w:w="7700"/>
            <w:tcMar>
              <w:top w:type="dxa" w:w="70"/>
              <w:left w:type="dxa" w:w="110"/>
              <w:bottom w:type="dxa" w:w="70"/>
              <w:right w:type="dxa" w:w="110"/>
            </w:tcMar>
          </w:tcPr>
          <w:p>
            <w:r>
              <w:rPr>
                <w:rFonts w:ascii="Calibri" w:cs="Calibri" w:eastAsia="Calibri" w:hAnsi="Calibri"/>
                <w:b w:val="false"/>
                <w:bCs w:val="false"/>
                <w:color w:val="1A1A1A"/>
                <w:sz w:val="19"/>
                <w:szCs w:val="19"/>
              </w:rPr>
              <w:t xml:space="preserve">Contrastes AA, cibles tactiles ≥ 44 px, libellés simples niveau lecture courant, support lecteurs d'écran sur les parcours critiques</w:t>
            </w:r>
          </w:p>
        </w:tc>
      </w:tr>
      <w:tr>
        <w:tc>
          <w:tcPr>
            <w:tcW w:type="dxa" w:w="1900"/>
            <w:shd w:fill="F2F5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Localisation</w:t>
            </w:r>
          </w:p>
        </w:tc>
        <w:tc>
          <w:tcPr>
            <w:tcW w:type="dxa" w:w="7700"/>
            <w:shd w:fill="F2F5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Français au MVP ; architecture i18n prête (anglais, langues locales en phase 2)</w:t>
            </w:r>
          </w:p>
        </w:tc>
      </w:tr>
      <w:tr>
        <w:tc>
          <w:tcPr>
            <w:tcW w:type="dxa" w:w="1900"/>
            <w:tcMar>
              <w:top w:type="dxa" w:w="70"/>
              <w:left w:type="dxa" w:w="110"/>
              <w:bottom w:type="dxa" w:w="70"/>
              <w:right w:type="dxa" w:w="110"/>
            </w:tcMar>
          </w:tcPr>
          <w:p>
            <w:r>
              <w:rPr>
                <w:rFonts w:ascii="Calibri" w:cs="Calibri" w:eastAsia="Calibri" w:hAnsi="Calibri"/>
                <w:b w:val="false"/>
                <w:bCs w:val="false"/>
                <w:color w:val="1A1A1A"/>
                <w:sz w:val="19"/>
                <w:szCs w:val="19"/>
              </w:rPr>
              <w:t xml:space="preserve">Observabilité</w:t>
            </w:r>
          </w:p>
        </w:tc>
        <w:tc>
          <w:tcPr>
            <w:tcW w:type="dxa" w:w="7700"/>
            <w:tcMar>
              <w:top w:type="dxa" w:w="70"/>
              <w:left w:type="dxa" w:w="110"/>
              <w:bottom w:type="dxa" w:w="70"/>
              <w:right w:type="dxa" w:w="110"/>
            </w:tcMar>
          </w:tcPr>
          <w:p>
            <w:r>
              <w:rPr>
                <w:rFonts w:ascii="Calibri" w:cs="Calibri" w:eastAsia="Calibri" w:hAnsi="Calibri"/>
                <w:b w:val="false"/>
                <w:bCs w:val="false"/>
                <w:color w:val="1A1A1A"/>
                <w:sz w:val="19"/>
                <w:szCs w:val="19"/>
              </w:rPr>
              <w:t xml:space="preserve">Télémétrie CT-01/CT-02 (temps réels mesurés), alerting fraude, tableaux de bord produit</w:t>
            </w:r>
          </w:p>
        </w:tc>
      </w:tr>
    </w:tbl>
    <w:p>
      <w:pPr>
        <w:pStyle w:val="Heading1"/>
        <w:spacing w:after="180" w:before="360"/>
      </w:pPr>
      <w:r>
        <w:rPr>
          <w:rFonts w:ascii="Calibri" w:cs="Calibri" w:eastAsia="Calibri" w:hAnsi="Calibri"/>
          <w:b/>
          <w:bCs/>
          <w:color w:val="0B2545"/>
          <w:sz w:val="32"/>
          <w:szCs w:val="32"/>
        </w:rPr>
        <w:t xml:space="preserve">9. Mesure du succès</w:t>
      </w:r>
    </w:p>
    <w:p>
      <w:pPr>
        <w:pStyle w:val="ListParagraph"/>
        <w:numPr>
          <w:ilvl w:val="0"/>
          <w:numId w:val="2"/>
        </w:numPr>
        <w:spacing w:after="90" w:line="260"/>
      </w:pPr>
      <w:r>
        <w:rPr>
          <w:rFonts w:ascii="Calibri" w:cs="Calibri" w:eastAsia="Calibri" w:hAnsi="Calibri"/>
          <w:b w:val="false"/>
          <w:bCs w:val="false"/>
          <w:sz w:val="22"/>
          <w:szCs w:val="22"/>
        </w:rPr>
        <w:t xml:space="preserve">North Star : nombre de consultations de statut par mois (le réflexe de marché).</w:t>
      </w:r>
    </w:p>
    <w:p>
      <w:pPr>
        <w:pStyle w:val="ListParagraph"/>
        <w:numPr>
          <w:ilvl w:val="0"/>
          <w:numId w:val="2"/>
        </w:numPr>
        <w:spacing w:after="90" w:line="260"/>
      </w:pPr>
      <w:r>
        <w:rPr>
          <w:rFonts w:ascii="Calibri" w:cs="Calibri" w:eastAsia="Calibri" w:hAnsi="Calibri"/>
          <w:b w:val="false"/>
          <w:bCs w:val="false"/>
          <w:sz w:val="22"/>
          <w:szCs w:val="22"/>
        </w:rPr>
        <w:t xml:space="preserve">Offre : loueurs actifs, véhicules de flotte couverts, biens particuliers enregistrés, répartition F1/F2/F3.</w:t>
      </w:r>
    </w:p>
    <w:p>
      <w:pPr>
        <w:pStyle w:val="ListParagraph"/>
        <w:numPr>
          <w:ilvl w:val="0"/>
          <w:numId w:val="2"/>
        </w:numPr>
        <w:spacing w:after="90" w:line="260"/>
      </w:pPr>
      <w:r>
        <w:rPr>
          <w:rFonts w:ascii="Calibri" w:cs="Calibri" w:eastAsia="Calibri" w:hAnsi="Calibri"/>
          <w:b w:val="false"/>
          <w:bCs w:val="false"/>
          <w:sz w:val="22"/>
          <w:szCs w:val="22"/>
        </w:rPr>
        <w:t xml:space="preserve">Vitesse : temps médian d'enregistrement (&lt; 90 s), % consultations ≤ 2 interactions (&gt; 95 %).</w:t>
      </w:r>
    </w:p>
    <w:p>
      <w:pPr>
        <w:pStyle w:val="ListParagraph"/>
        <w:numPr>
          <w:ilvl w:val="0"/>
          <w:numId w:val="2"/>
        </w:numPr>
        <w:spacing w:after="90" w:line="260"/>
      </w:pPr>
      <w:r>
        <w:rPr>
          <w:rFonts w:ascii="Calibri" w:cs="Calibri" w:eastAsia="Calibri" w:hAnsi="Calibri"/>
          <w:b w:val="false"/>
          <w:bCs w:val="false"/>
          <w:sz w:val="22"/>
          <w:szCs w:val="22"/>
        </w:rPr>
        <w:t xml:space="preserve">Anti-fraude : doublons tentés, litiges ouverts/tranchés, biens gelés, délai médian d'arbitrage.</w:t>
      </w:r>
    </w:p>
    <w:p>
      <w:pPr>
        <w:pStyle w:val="ListParagraph"/>
        <w:numPr>
          <w:ilvl w:val="0"/>
          <w:numId w:val="2"/>
        </w:numPr>
        <w:spacing w:after="90" w:line="260"/>
      </w:pPr>
      <w:r>
        <w:rPr>
          <w:rFonts w:ascii="Calibri" w:cs="Calibri" w:eastAsia="Calibri" w:hAnsi="Calibri"/>
          <w:b w:val="false"/>
          <w:bCs w:val="false"/>
          <w:sz w:val="22"/>
          <w:szCs w:val="22"/>
        </w:rPr>
        <w:t xml:space="preserve">Monétisation : conversion consultation → rapport détaillé, MRR flotte, ARPU particulier.</w:t>
      </w:r>
    </w:p>
    <w:p>
      <w:pPr>
        <w:pStyle w:val="Heading1"/>
        <w:spacing w:after="180" w:before="360"/>
      </w:pPr>
      <w:r>
        <w:rPr>
          <w:rFonts w:ascii="Calibri" w:cs="Calibri" w:eastAsia="Calibri" w:hAnsi="Calibri"/>
          <w:b/>
          <w:bCs/>
          <w:color w:val="0B2545"/>
          <w:sz w:val="32"/>
          <w:szCs w:val="32"/>
        </w:rPr>
        <w:t xml:space="preserve">10. Découpage indicatif en sprints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400"/>
      </w:tblGrid>
      <w:tr>
        <w:trPr>
          <w:tblHeader/>
        </w:trPr>
        <w:tc>
          <w:tcPr>
            <w:tcW w:type="dxa" w:w="1800"/>
            <w:shd w:fill="0B2545" w:val="clear"/>
            <w:tcMar>
              <w:top w:type="dxa" w:w="70"/>
              <w:left w:type="dxa" w:w="110"/>
              <w:bottom w:type="dxa" w:w="70"/>
              <w:right w:type="dxa" w:w="110"/>
            </w:tcMar>
          </w:tcPr>
          <w:p>
            <w:r>
              <w:rPr>
                <w:rFonts w:ascii="Calibri" w:cs="Calibri" w:eastAsia="Calibri" w:hAnsi="Calibri"/>
                <w:b/>
                <w:bCs/>
                <w:color w:val="FFFFFF"/>
                <w:sz w:val="19"/>
                <w:szCs w:val="19"/>
              </w:rPr>
              <w:t xml:space="preserve">Phase</w:t>
            </w:r>
          </w:p>
        </w:tc>
        <w:tc>
          <w:tcPr>
            <w:tcW w:type="dxa" w:w="1400"/>
            <w:shd w:fill="0B2545" w:val="clear"/>
            <w:tcMar>
              <w:top w:type="dxa" w:w="70"/>
              <w:left w:type="dxa" w:w="110"/>
              <w:bottom w:type="dxa" w:w="70"/>
              <w:right w:type="dxa" w:w="110"/>
            </w:tcMar>
          </w:tcPr>
          <w:p>
            <w:r>
              <w:rPr>
                <w:rFonts w:ascii="Calibri" w:cs="Calibri" w:eastAsia="Calibri" w:hAnsi="Calibri"/>
                <w:b/>
                <w:bCs/>
                <w:color w:val="FFFFFF"/>
                <w:sz w:val="19"/>
                <w:szCs w:val="19"/>
              </w:rPr>
              <w:t xml:space="preserve">Sprints</w:t>
            </w:r>
          </w:p>
        </w:tc>
        <w:tc>
          <w:tcPr>
            <w:tcW w:type="dxa" w:w="6400"/>
            <w:shd w:fill="0B2545" w:val="clear"/>
            <w:tcMar>
              <w:top w:type="dxa" w:w="70"/>
              <w:left w:type="dxa" w:w="110"/>
              <w:bottom w:type="dxa" w:w="70"/>
              <w:right w:type="dxa" w:w="110"/>
            </w:tcMar>
          </w:tcPr>
          <w:p>
            <w:r>
              <w:rPr>
                <w:rFonts w:ascii="Calibri" w:cs="Calibri" w:eastAsia="Calibri" w:hAnsi="Calibri"/>
                <w:b/>
                <w:bCs/>
                <w:color w:val="FFFFFF"/>
                <w:sz w:val="19"/>
                <w:szCs w:val="19"/>
              </w:rPr>
              <w:t xml:space="preserve">Contenu</w:t>
            </w:r>
          </w:p>
        </w:tc>
      </w:tr>
      <w:tr>
        <w:tc>
          <w:tcPr>
            <w:tcW w:type="dxa" w:w="1800"/>
            <w:tcMar>
              <w:top w:type="dxa" w:w="70"/>
              <w:left w:type="dxa" w:w="110"/>
              <w:bottom w:type="dxa" w:w="70"/>
              <w:right w:type="dxa" w:w="110"/>
            </w:tcMar>
          </w:tcPr>
          <w:p>
            <w:r>
              <w:rPr>
                <w:rFonts w:ascii="Calibri" w:cs="Calibri" w:eastAsia="Calibri" w:hAnsi="Calibri"/>
                <w:b w:val="false"/>
                <w:bCs w:val="false"/>
                <w:color w:val="1A1A1A"/>
                <w:sz w:val="19"/>
                <w:szCs w:val="19"/>
              </w:rPr>
              <w:t xml:space="preserve">Fondations</w:t>
            </w:r>
          </w:p>
        </w:tc>
        <w:tc>
          <w:tcPr>
            <w:tcW w:type="dxa" w:w="1400"/>
            <w:tcMar>
              <w:top w:type="dxa" w:w="70"/>
              <w:left w:type="dxa" w:w="110"/>
              <w:bottom w:type="dxa" w:w="70"/>
              <w:right w:type="dxa" w:w="110"/>
            </w:tcMar>
          </w:tcPr>
          <w:p>
            <w:r>
              <w:rPr>
                <w:rFonts w:ascii="Calibri" w:cs="Calibri" w:eastAsia="Calibri" w:hAnsi="Calibri"/>
                <w:b w:val="false"/>
                <w:bCs w:val="false"/>
                <w:color w:val="1A1A1A"/>
                <w:sz w:val="19"/>
                <w:szCs w:val="19"/>
              </w:rPr>
              <w:t xml:space="preserve">S1–S3</w:t>
            </w:r>
          </w:p>
        </w:tc>
        <w:tc>
          <w:tcPr>
            <w:tcW w:type="dxa" w:w="6400"/>
            <w:tcMar>
              <w:top w:type="dxa" w:w="70"/>
              <w:left w:type="dxa" w:w="110"/>
              <w:bottom w:type="dxa" w:w="70"/>
              <w:right w:type="dxa" w:w="110"/>
            </w:tcMar>
          </w:tcPr>
          <w:p>
            <w:r>
              <w:rPr>
                <w:rFonts w:ascii="Calibri" w:cs="Calibri" w:eastAsia="Calibri" w:hAnsi="Calibri"/>
                <w:b w:val="false"/>
                <w:bCs w:val="false"/>
                <w:color w:val="1A1A1A"/>
                <w:sz w:val="19"/>
                <w:szCs w:val="19"/>
              </w:rPr>
              <w:t xml:space="preserve">EP-01 (comptes, OTP, KYC), socle API, modèle de données, audit chaîné</w:t>
            </w:r>
          </w:p>
        </w:tc>
      </w:tr>
      <w:tr>
        <w:tc>
          <w:tcPr>
            <w:tcW w:type="dxa" w:w="1800"/>
            <w:shd w:fill="F2F5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Cœur produit</w:t>
            </w:r>
          </w:p>
        </w:tc>
        <w:tc>
          <w:tcPr>
            <w:tcW w:type="dxa" w:w="1400"/>
            <w:shd w:fill="F2F5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S4–S7</w:t>
            </w:r>
          </w:p>
        </w:tc>
        <w:tc>
          <w:tcPr>
            <w:tcW w:type="dxa" w:w="6400"/>
            <w:shd w:fill="F2F5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EP-02 (enregistrement express + OCR), EP-03 (consultation), EP-04 (confiance graduée)</w:t>
            </w:r>
          </w:p>
        </w:tc>
      </w:tr>
      <w:tr>
        <w:tc>
          <w:tcPr>
            <w:tcW w:type="dxa" w:w="1800"/>
            <w:tcMar>
              <w:top w:type="dxa" w:w="70"/>
              <w:left w:type="dxa" w:w="110"/>
              <w:bottom w:type="dxa" w:w="70"/>
              <w:right w:type="dxa" w:w="110"/>
            </w:tcMar>
          </w:tcPr>
          <w:p>
            <w:r>
              <w:rPr>
                <w:rFonts w:ascii="Calibri" w:cs="Calibri" w:eastAsia="Calibri" w:hAnsi="Calibri"/>
                <w:b w:val="false"/>
                <w:bCs w:val="false"/>
                <w:color w:val="1A1A1A"/>
                <w:sz w:val="19"/>
                <w:szCs w:val="19"/>
              </w:rPr>
              <w:t xml:space="preserve">Protection</w:t>
            </w:r>
          </w:p>
        </w:tc>
        <w:tc>
          <w:tcPr>
            <w:tcW w:type="dxa" w:w="1400"/>
            <w:tcMar>
              <w:top w:type="dxa" w:w="70"/>
              <w:left w:type="dxa" w:w="110"/>
              <w:bottom w:type="dxa" w:w="70"/>
              <w:right w:type="dxa" w:w="110"/>
            </w:tcMar>
          </w:tcPr>
          <w:p>
            <w:r>
              <w:rPr>
                <w:rFonts w:ascii="Calibri" w:cs="Calibri" w:eastAsia="Calibri" w:hAnsi="Calibri"/>
                <w:b w:val="false"/>
                <w:bCs w:val="false"/>
                <w:color w:val="1A1A1A"/>
                <w:sz w:val="19"/>
                <w:szCs w:val="19"/>
              </w:rPr>
              <w:t xml:space="preserve">S8–S10</w:t>
            </w:r>
          </w:p>
        </w:tc>
        <w:tc>
          <w:tcPr>
            <w:tcW w:type="dxa" w:w="6400"/>
            <w:tcMar>
              <w:top w:type="dxa" w:w="70"/>
              <w:left w:type="dxa" w:w="110"/>
              <w:bottom w:type="dxa" w:w="70"/>
              <w:right w:type="dxa" w:w="110"/>
            </w:tcMar>
          </w:tcPr>
          <w:p>
            <w:r>
              <w:rPr>
                <w:rFonts w:ascii="Calibri" w:cs="Calibri" w:eastAsia="Calibri" w:hAnsi="Calibri"/>
                <w:b w:val="false"/>
                <w:bCs w:val="false"/>
                <w:color w:val="1A1A1A"/>
                <w:sz w:val="19"/>
                <w:szCs w:val="19"/>
              </w:rPr>
              <w:t xml:space="preserve">EP-05 (réclamation + back-office arbitrage), EP-06 (transferts, vol, statuts)</w:t>
            </w:r>
          </w:p>
        </w:tc>
      </w:tr>
      <w:tr>
        <w:tc>
          <w:tcPr>
            <w:tcW w:type="dxa" w:w="1800"/>
            <w:shd w:fill="F2F5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Marché</w:t>
            </w:r>
          </w:p>
        </w:tc>
        <w:tc>
          <w:tcPr>
            <w:tcW w:type="dxa" w:w="1400"/>
            <w:shd w:fill="F2F5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S11–S13</w:t>
            </w:r>
          </w:p>
        </w:tc>
        <w:tc>
          <w:tcPr>
            <w:tcW w:type="dxa" w:w="6400"/>
            <w:shd w:fill="F2F5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EP-07 (flotte B2B + pilotes loueurs), EP-08 (paiements), EP-09 (observabilité), bêta publique</w:t>
            </w:r>
          </w:p>
        </w:tc>
      </w:tr>
    </w:tbl>
    <w:p>
      <w:pPr>
        <w:spacing w:after="100"/>
      </w:pPr>
    </w:p>
    <w:p>
      <w:pPr>
        <w:spacing w:after="130" w:line="270"/>
        <w:jc w:val="both"/>
      </w:pPr>
      <w:r>
        <w:rPr>
          <w:rFonts w:ascii="Calibri" w:cs="Calibri" w:eastAsia="Calibri" w:hAnsi="Calibri"/>
          <w:b w:val="false"/>
          <w:bCs w:val="false"/>
          <w:i/>
          <w:iCs/>
          <w:color w:val="1A1A1A"/>
          <w:sz w:val="22"/>
          <w:szCs w:val="22"/>
        </w:rPr>
        <w:t xml:space="preserve">Le backlog Excel détaillé (stories, story points, priorités MoSCoW, sprints) est le livrable suivant, dérivé de ce PRD selon le standard OVERNETFLOW.</w:t>
      </w:r>
    </w:p>
    <w:sectPr>
      <w:headerReference w:type="default" r:id="rId7"/>
      <w:footerReference w:type="default" r:id="rId8"/>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6"/>
        <w:szCs w:val="16"/>
      </w:rPr>
      <w:t xml:space="preserve">Confidentiel — </w:t>
    </w:r>
    <w:r>
      <w:rPr>
        <w:rFonts w:ascii="Calibri" w:cs="Calibri" w:eastAsia="Calibri" w:hAnsi="Calibri"/>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55555"/>
        <w:sz w:val="16"/>
        <w:szCs w:val="16"/>
      </w:rPr>
      <w:t xml:space="preserve">PREUVE — PRD v1.0 · OVERNETFLOW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2026-07-31T21:50:37.236Z</dcterms:created>
  <dcterms:modified xsi:type="dcterms:W3CDTF">2026-07-31T21:50:37.249Z</dcterms:modified>
</cp:coreProperties>
</file>

<file path=docProps/custom.xml><?xml version="1.0" encoding="utf-8"?>
<Properties xmlns="http://schemas.openxmlformats.org/officeDocument/2006/custom-properties" xmlns:vt="http://schemas.openxmlformats.org/officeDocument/2006/docPropsVTypes"/>
</file>