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aps/>
          <w:color w:val="D97706"/>
          <w:sz w:val="28"/>
          <w:szCs w:val="28"/>
        </w:rPr>
        <w:t xml:space="preserve">OVERNETFLOW</w:t>
      </w:r>
    </w:p>
    <w:p>
      <w:pPr>
        <w:spacing w:before="400"/>
        <w:jc w:val="center"/>
      </w:pPr>
      <w:r>
        <w:rPr>
          <w:rFonts w:ascii="Calibri" w:cs="Calibri" w:eastAsia="Calibri" w:hAnsi="Calibri"/>
          <w:b/>
          <w:bCs/>
          <w:color w:val="0B2545"/>
          <w:sz w:val="72"/>
          <w:szCs w:val="72"/>
        </w:rPr>
        <w:t xml:space="preserve">PREUVE</w:t>
      </w:r>
    </w:p>
    <w:p>
      <w:pPr>
        <w:spacing w:before="100"/>
        <w:jc w:val="center"/>
      </w:pPr>
      <w:r>
        <w:rPr>
          <w:rFonts w:ascii="Calibri" w:cs="Calibri" w:eastAsia="Calibri" w:hAnsi="Calibri"/>
          <w:color w:val="555555"/>
          <w:sz w:val="28"/>
          <w:szCs w:val="28"/>
        </w:rPr>
        <w:t xml:space="preserve">Registre déclaratif de propriété et de statut des biens</w:t>
      </w:r>
    </w:p>
    <w:p>
      <w:pPr>
        <w:spacing w:before="60"/>
        <w:jc w:val="center"/>
      </w:pPr>
      <w:r>
        <w:rPr>
          <w:rFonts w:ascii="Calibri" w:cs="Calibri" w:eastAsia="Calibri" w:hAnsi="Calibri"/>
          <w:color w:val="D97706"/>
          <w:sz w:val="22"/>
          <w:szCs w:val="22"/>
        </w:rPr>
        <w:t xml:space="preserve">Véhicules · Téléphones · Motos · Foncier</w:t>
      </w:r>
    </w:p>
    <w:p>
      <w:pPr>
        <w:spacing w:before="900"/>
        <w:jc w:val="center"/>
      </w:pPr>
      <w:r>
        <w:rPr>
          <w:rFonts w:ascii="Calibri" w:cs="Calibri" w:eastAsia="Calibri" w:hAnsi="Calibri"/>
          <w:b/>
          <w:bCs/>
          <w:color w:val="0B2545"/>
          <w:sz w:val="26"/>
          <w:szCs w:val="26"/>
        </w:rPr>
        <w:t xml:space="preserve">PROJECT BRIEF — MÉTHODOLOGIE BMAD</w:t>
      </w:r>
    </w:p>
    <w:p>
      <w:pPr>
        <w:spacing w:before="200"/>
        <w:jc w:val="center"/>
      </w:pPr>
      <w:r>
        <w:rPr>
          <w:rFonts w:ascii="Calibri" w:cs="Calibri" w:eastAsia="Calibri" w:hAnsi="Calibri"/>
          <w:color w:val="555555"/>
          <w:sz w:val="22"/>
          <w:szCs w:val="22"/>
        </w:rPr>
        <w:t xml:space="preserve">Version 1.0 — Juillet 2026</w:t>
      </w:r>
    </w:p>
    <w:p>
      <w:pPr>
        <w:spacing w:before="60"/>
        <w:jc w:val="center"/>
      </w:pPr>
      <w:r>
        <w:rPr>
          <w:rFonts w:ascii="Calibri" w:cs="Calibri" w:eastAsia="Calibri" w:hAnsi="Calibri"/>
          <w:i/>
          <w:iCs/>
          <w:color w:val="555555"/>
          <w:sz w:val="18"/>
          <w:szCs w:val="18"/>
        </w:rPr>
        <w:t xml:space="preserve">Document confidentiel — OVERNETFLOW / Abidjan, Côte d'Ivoire</w:t>
      </w:r>
    </w:p>
    <w:p>
      <w:r>
        <w:br w:type="page"/>
      </w:r>
    </w:p>
    <w:p>
      <w:pPr>
        <w:pStyle w:val="Heading1"/>
        <w:spacing w:after="180" w:before="360"/>
      </w:pPr>
      <w:r>
        <w:rPr>
          <w:rFonts w:ascii="Calibri" w:cs="Calibri" w:eastAsia="Calibri" w:hAnsi="Calibri"/>
          <w:b/>
          <w:bCs/>
          <w:color w:val="0B2545"/>
          <w:sz w:val="32"/>
          <w:szCs w:val="32"/>
        </w:rPr>
        <w:t xml:space="preserve">1. Résumé exécutif</w:t>
      </w:r>
    </w:p>
    <w:p>
      <w:pPr>
        <w:spacing w:after="140" w:line="276"/>
        <w:jc w:val="both"/>
      </w:pPr>
      <w:r>
        <w:rPr>
          <w:rFonts w:ascii="Calibri" w:cs="Calibri" w:eastAsia="Calibri" w:hAnsi="Calibri"/>
          <w:b w:val="false"/>
          <w:bCs w:val="false"/>
          <w:i w:val="false"/>
          <w:iCs w:val="false"/>
          <w:color w:val="1A1A1A"/>
          <w:sz w:val="22"/>
          <w:szCs w:val="22"/>
        </w:rPr>
        <w:t xml:space="preserve">Preuve est une plateforme de confiance qui casse la chaîne du recel en Côte d'Ivoire. Elle permet à tout propriétaire (particulier ou entreprise) d'enregistrer un bien identifiable — véhicule, moto, téléphone, terrain — et à tout acheteur potentiel de vérifier en deux clics le statut réel de ce bien avant d'acheter : qui l'a déclaré, à quel niveau de fiabilité, s'il est en location, déclaré volé ou en litige.</w:t>
      </w:r>
    </w:p>
    <w:p>
      <w:pPr>
        <w:spacing w:after="140" w:line="276"/>
        <w:jc w:val="both"/>
      </w:pPr>
      <w:r>
        <w:rPr>
          <w:rFonts w:ascii="Calibri" w:cs="Calibri" w:eastAsia="Calibri" w:hAnsi="Calibri"/>
          <w:b w:val="false"/>
          <w:bCs w:val="false"/>
          <w:i w:val="false"/>
          <w:iCs w:val="false"/>
          <w:color w:val="1A1A1A"/>
          <w:sz w:val="22"/>
          <w:szCs w:val="22"/>
        </w:rPr>
        <w:t xml:space="preserve">Le pari stratégique n'est pas de constituer un registre officiel de propriété (rôle de l'État), mais de rendre la fraude coûteuse et visible : dès lors que le réflexe de vérification s'installe chez les acheteurs, un bien volé ou double-vendu perd sa liquidité sur le marché. Preuve fournit une présomption d'antériorité déclarative, opposable comme commencement de preuve, jamais un titre de propriété.</w:t>
      </w:r>
    </w:p>
    <w:p>
      <w:pPr>
        <w:spacing w:after="140" w:line="276"/>
        <w:jc w:val="both"/>
      </w:pPr>
      <w:r>
        <w:rPr>
          <w:rFonts w:ascii="Calibri" w:cs="Calibri" w:eastAsia="Calibri" w:hAnsi="Calibri"/>
          <w:b w:val="false"/>
          <w:bCs w:val="false"/>
          <w:i w:val="false"/>
          <w:iCs w:val="false"/>
          <w:color w:val="1A1A1A"/>
          <w:sz w:val="22"/>
          <w:szCs w:val="22"/>
        </w:rPr>
        <w:t xml:space="preserve">Le MVP cible en priorité la verticale B2B de la location de véhicules (douleur aiguë, source de vérité naturelle, clients solvables), avec les particuliers en consultation gratuite pour amorcer l'effet réseau. Deux mécanismes différenciants structurent le produit : la confiance graduée (3 niveaux de fiabilité par enregistrement) et le module de réclamation avec gel public du bien en cas de litige.</w:t>
      </w:r>
    </w:p>
    <w:p>
      <w:pPr>
        <w:spacing w:after="140" w:line="276"/>
        <w:jc w:val="both"/>
      </w:pPr>
      <w:r>
        <w:rPr>
          <w:rFonts w:ascii="Calibri" w:cs="Calibri" w:eastAsia="Calibri" w:hAnsi="Calibri"/>
          <w:b/>
          <w:bCs/>
          <w:i w:val="false"/>
          <w:iCs w:val="false"/>
          <w:color w:val="1A1A1A"/>
          <w:sz w:val="22"/>
          <w:szCs w:val="22"/>
        </w:rPr>
        <w:t xml:space="preserve">Exigence produit non négociable : une expérience radicalement simple. Consultation du statut d'un bien en 2 clics maximum, enregistrement d'un bien en moins de 90 secondes, sans friction inutile.</w:t>
      </w:r>
    </w:p>
    <w:p>
      <w:pPr>
        <w:pStyle w:val="Heading1"/>
        <w:spacing w:after="180" w:before="360"/>
      </w:pPr>
      <w:r>
        <w:rPr>
          <w:rFonts w:ascii="Calibri" w:cs="Calibri" w:eastAsia="Calibri" w:hAnsi="Calibri"/>
          <w:b/>
          <w:bCs/>
          <w:color w:val="0B2545"/>
          <w:sz w:val="32"/>
          <w:szCs w:val="32"/>
        </w:rPr>
        <w:t xml:space="preserve">2. Énoncé du problème</w:t>
      </w:r>
    </w:p>
    <w:p>
      <w:pPr>
        <w:pStyle w:val="Heading2"/>
        <w:spacing w:after="140" w:before="280"/>
      </w:pPr>
      <w:r>
        <w:rPr>
          <w:rFonts w:ascii="Calibri" w:cs="Calibri" w:eastAsia="Calibri" w:hAnsi="Calibri"/>
          <w:b/>
          <w:bCs/>
          <w:color w:val="D97706"/>
          <w:sz w:val="26"/>
          <w:szCs w:val="26"/>
        </w:rPr>
        <w:t xml:space="preserve">2.1 Constats terrain</w:t>
      </w:r>
    </w:p>
    <w:p>
      <w:pPr>
        <w:pStyle w:val="ListParagraph"/>
        <w:numPr>
          <w:ilvl w:val="0"/>
          <w:numId w:val="2"/>
        </w:numPr>
        <w:spacing w:after="100" w:line="264"/>
      </w:pPr>
      <w:r>
        <w:rPr>
          <w:rFonts w:ascii="Calibri" w:cs="Calibri" w:eastAsia="Calibri" w:hAnsi="Calibri"/>
          <w:b w:val="false"/>
          <w:bCs w:val="false"/>
          <w:sz w:val="22"/>
          <w:szCs w:val="22"/>
        </w:rPr>
        <w:t xml:space="preserve">Sociétés de location de véhicules : des véhicules pris en location sont revendus frauduleusement à des tiers de bonne foi. Double préjudice : le loueur perd son actif, l'acheteur perd son argent et le bien.</w:t>
      </w:r>
    </w:p>
    <w:p>
      <w:pPr>
        <w:pStyle w:val="ListParagraph"/>
        <w:numPr>
          <w:ilvl w:val="0"/>
          <w:numId w:val="2"/>
        </w:numPr>
        <w:spacing w:after="100" w:line="264"/>
      </w:pPr>
      <w:r>
        <w:rPr>
          <w:rFonts w:ascii="Calibri" w:cs="Calibri" w:eastAsia="Calibri" w:hAnsi="Calibri"/>
          <w:b w:val="false"/>
          <w:bCs w:val="false"/>
          <w:sz w:val="22"/>
          <w:szCs w:val="22"/>
        </w:rPr>
        <w:t xml:space="preserve">Foncier : usurpation de documents (numéro de lot, attestations) permettant la vente d'un terrain à l'insu du propriétaire légitime ; ventes multiples du même lot.</w:t>
      </w:r>
    </w:p>
    <w:p>
      <w:pPr>
        <w:pStyle w:val="ListParagraph"/>
        <w:numPr>
          <w:ilvl w:val="0"/>
          <w:numId w:val="2"/>
        </w:numPr>
        <w:spacing w:after="100" w:line="264"/>
      </w:pPr>
      <w:r>
        <w:rPr>
          <w:rFonts w:ascii="Calibri" w:cs="Calibri" w:eastAsia="Calibri" w:hAnsi="Calibri"/>
          <w:b w:val="false"/>
          <w:bCs w:val="false"/>
          <w:sz w:val="22"/>
          <w:szCs w:val="22"/>
        </w:rPr>
        <w:t xml:space="preserve">Téléphones et motos : malgré les protections constructeur, les biens volés circulent et se revendent facilement faute de moyen simple de vérifier le vendeur (numéro de série, numéro de châssis).</w:t>
      </w:r>
    </w:p>
    <w:p>
      <w:pPr>
        <w:pStyle w:val="Heading2"/>
        <w:spacing w:after="140" w:before="280"/>
      </w:pPr>
      <w:r>
        <w:rPr>
          <w:rFonts w:ascii="Calibri" w:cs="Calibri" w:eastAsia="Calibri" w:hAnsi="Calibri"/>
          <w:b/>
          <w:bCs/>
          <w:color w:val="D97706"/>
          <w:sz w:val="26"/>
          <w:szCs w:val="26"/>
        </w:rPr>
        <w:t xml:space="preserve">2.2 Cause racine</w:t>
      </w:r>
    </w:p>
    <w:p>
      <w:pPr>
        <w:spacing w:after="140" w:line="276"/>
        <w:jc w:val="both"/>
      </w:pPr>
      <w:r>
        <w:rPr>
          <w:rFonts w:ascii="Calibri" w:cs="Calibri" w:eastAsia="Calibri" w:hAnsi="Calibri"/>
          <w:b w:val="false"/>
          <w:bCs w:val="false"/>
          <w:i w:val="false"/>
          <w:iCs w:val="false"/>
          <w:color w:val="1A1A1A"/>
          <w:sz w:val="22"/>
          <w:szCs w:val="22"/>
        </w:rPr>
        <w:t xml:space="preserve">Il n'existe aucun point de vérification accessible, instantané et fiable au moment de la transaction. L'acheteur n'a aucun moyen de savoir si le vendeur est le propriétaire légitime, si le bien est grevé (location en cours, gage, litige) ou s'il a été déclaré volé. Cette asymétrie d'information alimente le recel : le bien volé reste liquide.</w:t>
      </w:r>
    </w:p>
    <w:p>
      <w:pPr>
        <w:pStyle w:val="Heading2"/>
        <w:spacing w:after="140" w:before="280"/>
      </w:pPr>
      <w:r>
        <w:rPr>
          <w:rFonts w:ascii="Calibri" w:cs="Calibri" w:eastAsia="Calibri" w:hAnsi="Calibri"/>
          <w:b/>
          <w:bCs/>
          <w:color w:val="D97706"/>
          <w:sz w:val="26"/>
          <w:szCs w:val="26"/>
        </w:rPr>
        <w:t xml:space="preserve">2.3 Pourquoi maintenant</w:t>
      </w:r>
    </w:p>
    <w:p>
      <w:pPr>
        <w:spacing w:after="140" w:line="276"/>
        <w:jc w:val="both"/>
      </w:pPr>
      <w:r>
        <w:rPr>
          <w:rFonts w:ascii="Calibri" w:cs="Calibri" w:eastAsia="Calibri" w:hAnsi="Calibri"/>
          <w:b w:val="false"/>
          <w:bCs w:val="false"/>
          <w:i w:val="false"/>
          <w:iCs w:val="false"/>
          <w:color w:val="1A1A1A"/>
          <w:sz w:val="22"/>
          <w:szCs w:val="22"/>
        </w:rPr>
        <w:t xml:space="preserve">L'actualité récente (affaires médiatisées de recel de motos et de véhicules de location) crée une fenêtre d'opportunité forte en termes de notoriété et d'adoption. Le taux de pénétration smartphone et Mobile Money en Côte d'Ivoire rend le modèle freemium viable à l'échelle des particuliers comme des entreprises.</w:t>
      </w:r>
    </w:p>
    <w:p>
      <w:pPr>
        <w:pStyle w:val="Heading1"/>
        <w:spacing w:after="180" w:before="360"/>
      </w:pPr>
      <w:r>
        <w:rPr>
          <w:rFonts w:ascii="Calibri" w:cs="Calibri" w:eastAsia="Calibri" w:hAnsi="Calibri"/>
          <w:b/>
          <w:bCs/>
          <w:color w:val="0B2545"/>
          <w:sz w:val="32"/>
          <w:szCs w:val="32"/>
        </w:rPr>
        <w:t xml:space="preserve">3. Solution proposée</w:t>
      </w:r>
    </w:p>
    <w:p>
      <w:pPr>
        <w:pStyle w:val="Heading2"/>
        <w:spacing w:after="140" w:before="280"/>
      </w:pPr>
      <w:r>
        <w:rPr>
          <w:rFonts w:ascii="Calibri" w:cs="Calibri" w:eastAsia="Calibri" w:hAnsi="Calibri"/>
          <w:b/>
          <w:bCs/>
          <w:color w:val="D97706"/>
          <w:sz w:val="26"/>
          <w:szCs w:val="26"/>
        </w:rPr>
        <w:t xml:space="preserve">3.1 Proposition de valeur</w:t>
      </w:r>
    </w:p>
    <w:p>
      <w:pPr>
        <w:spacing w:after="140" w:line="276"/>
        <w:jc w:val="both"/>
      </w:pPr>
      <w:r>
        <w:rPr>
          <w:rFonts w:ascii="Calibri" w:cs="Calibri" w:eastAsia="Calibri" w:hAnsi="Calibri"/>
          <w:b/>
          <w:bCs/>
          <w:i w:val="false"/>
          <w:iCs w:val="false"/>
          <w:color w:val="D97706"/>
          <w:sz w:val="22"/>
          <w:szCs w:val="22"/>
        </w:rPr>
        <w:t xml:space="preserve">« Avant d'acheter, vérifie. » </w:t>
      </w:r>
      <w:r>
        <w:rPr>
          <w:rFonts w:ascii="Calibri" w:cs="Calibri" w:eastAsia="Calibri" w:hAnsi="Calibri"/>
          <w:b w:val="false"/>
          <w:bCs w:val="false"/>
          <w:i w:val="false"/>
          <w:iCs w:val="false"/>
          <w:color w:val="1A1A1A"/>
          <w:sz w:val="22"/>
          <w:szCs w:val="22"/>
        </w:rPr>
        <w:t xml:space="preserve">Preuve installe un réflexe de marché : taper un identifiant unique (numéro de châssis, numéro de série/IMEI, numéro de lot, plaque) et obtenir immédiatement le statut public du bien. Le bien enregistré tôt et bien documenté devient difficile à receler ; le bien squatté ou volé est signalé et gelé.</w:t>
      </w:r>
    </w:p>
    <w:p>
      <w:pPr>
        <w:pStyle w:val="Heading2"/>
        <w:spacing w:after="140" w:before="280"/>
      </w:pPr>
      <w:r>
        <w:rPr>
          <w:rFonts w:ascii="Calibri" w:cs="Calibri" w:eastAsia="Calibri" w:hAnsi="Calibri"/>
          <w:b/>
          <w:bCs/>
          <w:color w:val="D97706"/>
          <w:sz w:val="26"/>
          <w:szCs w:val="26"/>
        </w:rPr>
        <w:t xml:space="preserve">3.2 Mécanisme n°1 — La confiance graduée</w:t>
      </w:r>
    </w:p>
    <w:p>
      <w:pPr>
        <w:spacing w:after="140" w:line="276"/>
        <w:jc w:val="both"/>
      </w:pPr>
      <w:r>
        <w:rPr>
          <w:rFonts w:ascii="Calibri" w:cs="Calibri" w:eastAsia="Calibri" w:hAnsi="Calibri"/>
          <w:b w:val="false"/>
          <w:bCs w:val="false"/>
          <w:i w:val="false"/>
          <w:iCs w:val="false"/>
          <w:color w:val="1A1A1A"/>
          <w:sz w:val="22"/>
          <w:szCs w:val="22"/>
        </w:rPr>
        <w:t xml:space="preserve">Réponse à la faiblesse structurelle d'un registre déclaratif (« premier arrivé = propriétaire »). Chaque enregistrement porte un niveau de fiabilité public, et non un statut binaire de propriété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600"/>
      </w:tblGrid>
      <w:tr>
        <w:trPr>
          <w:tblHeader/>
        </w:trPr>
        <w:tc>
          <w:tcPr>
            <w:tcW w:type="dxa" w:w="24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Niveau</w:t>
            </w:r>
          </w:p>
        </w:tc>
        <w:tc>
          <w:tcPr>
            <w:tcW w:type="dxa" w:w="46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Exigences</w:t>
            </w:r>
          </w:p>
        </w:tc>
        <w:tc>
          <w:tcPr>
            <w:tcW w:type="dxa" w:w="26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Statut affiché</w:t>
            </w:r>
          </w:p>
        </w:tc>
      </w:tr>
      <w:tr>
        <w:tc>
          <w:tcPr>
            <w:tcW w:type="dxa" w:w="24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Niveau 1 — Déclaratif</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Identifiant unique du bien + photos</w:t>
            </w:r>
          </w:p>
        </w:tc>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 Déclaré, non vérifié »</w:t>
            </w:r>
          </w:p>
        </w:tc>
      </w:tr>
      <w:tr>
        <w:tc>
          <w:tcPr>
            <w:tcW w:type="dxa" w:w="24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Niveau 2 — Documenté</w:t>
            </w:r>
          </w:p>
        </w:tc>
        <w:tc>
          <w:tcPr>
            <w:tcW w:type="dxa" w:w="4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Justificatifs (facture, carte grise, ACD) + KYC du déclarant (CNI + selfie liveness)</w:t>
            </w:r>
          </w:p>
        </w:tc>
        <w:tc>
          <w:tcPr>
            <w:tcW w:type="dxa" w:w="2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 Documenté »</w:t>
            </w:r>
          </w:p>
        </w:tc>
      </w:tr>
      <w:tr>
        <w:tc>
          <w:tcPr>
            <w:tcW w:type="dxa" w:w="24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Niveau 3 — Vérifié</w:t>
            </w:r>
          </w:p>
        </w:tc>
        <w:tc>
          <w:tcPr>
            <w:tcW w:type="dxa" w:w="4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Contrôle croisé documentaire, puis à terme rapprochement avec sources institutionnelles</w:t>
            </w:r>
          </w:p>
        </w:tc>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 Vérifié »</w:t>
            </w:r>
          </w:p>
        </w:tc>
      </w:tr>
    </w:tbl>
    <w:p>
      <w:pPr>
        <w:spacing w:after="120"/>
      </w:pPr>
    </w:p>
    <w:p>
      <w:pPr>
        <w:spacing w:after="140" w:line="276"/>
        <w:jc w:val="both"/>
      </w:pPr>
      <w:r>
        <w:rPr>
          <w:rFonts w:ascii="Calibri" w:cs="Calibri" w:eastAsia="Calibri" w:hAnsi="Calibri"/>
          <w:b w:val="false"/>
          <w:bCs w:val="false"/>
          <w:i w:val="false"/>
          <w:iCs w:val="false"/>
          <w:color w:val="1A1A1A"/>
          <w:sz w:val="22"/>
          <w:szCs w:val="22"/>
        </w:rPr>
        <w:t xml:space="preserve">Deux signaux temporels complètent le score et neutralisent le squat d'enregistrement (impossibles à antidater) : l'ancienneté de l'enregistrement et l'ancienneté du compte KYC. Enfin, tout nouvel enregistrement de niveau 1 ou 2 reste en statut « provisoire » pendant une fenêtre de contestation de 30 jours, consultable publiquement, avec alertes automatiques pour les propriétaires ayant activé une veille sur leur identifiant.</w:t>
      </w:r>
    </w:p>
    <w:p>
      <w:pPr>
        <w:pStyle w:val="Heading2"/>
        <w:spacing w:after="140" w:before="280"/>
      </w:pPr>
      <w:r>
        <w:rPr>
          <w:rFonts w:ascii="Calibri" w:cs="Calibri" w:eastAsia="Calibri" w:hAnsi="Calibri"/>
          <w:b/>
          <w:bCs/>
          <w:color w:val="D97706"/>
          <w:sz w:val="26"/>
          <w:szCs w:val="26"/>
        </w:rPr>
        <w:t xml:space="preserve">3.3 Mécanisme n°2 — Le module de réclamation</w:t>
      </w:r>
    </w:p>
    <w:p>
      <w:pPr>
        <w:spacing w:after="140" w:line="276"/>
        <w:jc w:val="both"/>
      </w:pPr>
      <w:r>
        <w:rPr>
          <w:rFonts w:ascii="Calibri" w:cs="Calibri" w:eastAsia="Calibri" w:hAnsi="Calibri"/>
          <w:b w:val="false"/>
          <w:bCs w:val="false"/>
          <w:i w:val="false"/>
          <w:iCs w:val="false"/>
          <w:color w:val="1A1A1A"/>
          <w:sz w:val="22"/>
          <w:szCs w:val="22"/>
        </w:rPr>
        <w:t xml:space="preserve">Workflow contradictoire permettant au propriétaire légitime de contester un enregistrement frauduleux :</w:t>
      </w:r>
    </w:p>
    <w:p>
      <w:pPr>
        <w:pStyle w:val="ListParagraph"/>
        <w:numPr>
          <w:ilvl w:val="0"/>
          <w:numId w:val="2"/>
        </w:numPr>
        <w:spacing w:after="100" w:line="264"/>
      </w:pPr>
      <w:r>
        <w:rPr>
          <w:rFonts w:ascii="Calibri" w:cs="Calibri" w:eastAsia="Calibri" w:hAnsi="Calibri"/>
          <w:b w:val="false"/>
          <w:bCs w:val="false"/>
          <w:sz w:val="22"/>
          <w:szCs w:val="22"/>
        </w:rPr>
        <w:t xml:space="preserve">Dépôt : réclamant identifié (KYC obligatoire), preuves uploadées (facture, carte grise, récépissé de plainte, ACD), frais de dossier modiques remboursés si la réclamation aboutit.</w:t>
      </w:r>
    </w:p>
    <w:p>
      <w:pPr>
        <w:pStyle w:val="ListParagraph"/>
        <w:numPr>
          <w:ilvl w:val="0"/>
          <w:numId w:val="2"/>
        </w:numPr>
        <w:spacing w:after="100" w:line="264"/>
      </w:pPr>
      <w:r>
        <w:rPr>
          <w:rFonts w:ascii="Calibri" w:cs="Calibri" w:eastAsia="Calibri" w:hAnsi="Calibri"/>
          <w:b w:val="false"/>
          <w:bCs w:val="false"/>
          <w:sz w:val="22"/>
          <w:szCs w:val="22"/>
        </w:rPr>
        <w:t xml:space="preserve">Gel immédiat : le bien passe en statut public « Litige en cours », tuant sa revendabilité — c'est l'arme centrale du dispositif.</w:t>
      </w:r>
    </w:p>
    <w:p>
      <w:pPr>
        <w:pStyle w:val="ListParagraph"/>
        <w:numPr>
          <w:ilvl w:val="0"/>
          <w:numId w:val="2"/>
        </w:numPr>
        <w:spacing w:after="100" w:line="264"/>
      </w:pPr>
      <w:r>
        <w:rPr>
          <w:rFonts w:ascii="Calibri" w:cs="Calibri" w:eastAsia="Calibri" w:hAnsi="Calibri"/>
          <w:b w:val="false"/>
          <w:bCs w:val="false"/>
          <w:sz w:val="22"/>
          <w:szCs w:val="22"/>
        </w:rPr>
        <w:t xml:space="preserve">Contradictoire : l'enregistrant actuel dispose de 15 jours pour produire ses justificatifs.</w:t>
      </w:r>
    </w:p>
    <w:p>
      <w:pPr>
        <w:pStyle w:val="ListParagraph"/>
        <w:numPr>
          <w:ilvl w:val="0"/>
          <w:numId w:val="2"/>
        </w:numPr>
        <w:spacing w:after="100" w:line="264"/>
      </w:pPr>
      <w:r>
        <w:rPr>
          <w:rFonts w:ascii="Calibri" w:cs="Calibri" w:eastAsia="Calibri" w:hAnsi="Calibri"/>
          <w:b w:val="false"/>
          <w:bCs w:val="false"/>
          <w:sz w:val="22"/>
          <w:szCs w:val="22"/>
        </w:rPr>
        <w:t xml:space="preserve">Arbitrage : back-office humain avec grille de pondération (document officiel nominatif &gt; facture &gt; déclaration ; antériorité ; récépissé de plainte = poids fort). Trois issues : transfert, maintien, ou « litige non tranché » avec renvoi vers la justice et export horodaté du dossier.</w:t>
      </w:r>
    </w:p>
    <w:p>
      <w:pPr>
        <w:pStyle w:val="ListParagraph"/>
        <w:numPr>
          <w:ilvl w:val="0"/>
          <w:numId w:val="2"/>
        </w:numPr>
        <w:spacing w:after="100" w:line="264"/>
      </w:pPr>
      <w:r>
        <w:rPr>
          <w:rFonts w:ascii="Calibri" w:cs="Calibri" w:eastAsia="Calibri" w:hAnsi="Calibri"/>
          <w:b w:val="false"/>
          <w:bCs w:val="false"/>
          <w:sz w:val="22"/>
          <w:szCs w:val="22"/>
        </w:rPr>
        <w:t xml:space="preserve">Traçabilité : journalisation complète, horodatage et hash SHA-256 chaîné en base — dossier inaltérable et opposable.</w:t>
      </w:r>
    </w:p>
    <w:p>
      <w:pPr>
        <w:pStyle w:val="Heading2"/>
        <w:spacing w:after="140" w:before="280"/>
      </w:pPr>
      <w:r>
        <w:rPr>
          <w:rFonts w:ascii="Calibri" w:cs="Calibri" w:eastAsia="Calibri" w:hAnsi="Calibri"/>
          <w:b/>
          <w:bCs/>
          <w:color w:val="D97706"/>
          <w:sz w:val="26"/>
          <w:szCs w:val="26"/>
        </w:rPr>
        <w:t xml:space="preserve">3.4 Transfert de propriété</w:t>
      </w:r>
    </w:p>
    <w:p>
      <w:pPr>
        <w:spacing w:after="140" w:line="276"/>
        <w:jc w:val="both"/>
      </w:pPr>
      <w:r>
        <w:rPr>
          <w:rFonts w:ascii="Calibri" w:cs="Calibri" w:eastAsia="Calibri" w:hAnsi="Calibri"/>
          <w:b w:val="false"/>
          <w:bCs w:val="false"/>
          <w:i w:val="false"/>
          <w:iCs w:val="false"/>
          <w:color w:val="1A1A1A"/>
          <w:sz w:val="22"/>
          <w:szCs w:val="22"/>
        </w:rPr>
        <w:t xml:space="preserve">Le transfert d'un enregistrement exige une double validation vendeur/acheteur (confirmation croisée + OTP), avec conservation de tout l'historique de la chaîne des détenteurs successifs. Un compte compromis ne suffit donc pas à « vendre » un bien sur la plateforme.</w:t>
      </w:r>
    </w:p>
    <w:p>
      <w:pPr>
        <w:pStyle w:val="Heading1"/>
        <w:spacing w:after="180" w:before="360"/>
      </w:pPr>
      <w:r>
        <w:rPr>
          <w:rFonts w:ascii="Calibri" w:cs="Calibri" w:eastAsia="Calibri" w:hAnsi="Calibri"/>
          <w:b/>
          <w:bCs/>
          <w:color w:val="0B2545"/>
          <w:sz w:val="32"/>
          <w:szCs w:val="32"/>
        </w:rPr>
        <w:t xml:space="preserve">4. Principes UX directeurs</w:t>
      </w:r>
    </w:p>
    <w:p>
      <w:pPr>
        <w:spacing w:after="140" w:line="276"/>
        <w:jc w:val="both"/>
      </w:pPr>
      <w:r>
        <w:rPr>
          <w:rFonts w:ascii="Calibri" w:cs="Calibri" w:eastAsia="Calibri" w:hAnsi="Calibri"/>
          <w:b/>
          <w:bCs/>
          <w:i w:val="false"/>
          <w:iCs w:val="false"/>
          <w:color w:val="1A1A1A"/>
          <w:sz w:val="22"/>
          <w:szCs w:val="22"/>
        </w:rPr>
        <w:t xml:space="preserve">La simplicité est un principe d'architecture, pas une finition. Tout arbitrage produit se tranche en faveur de la rapidité et de la clarté.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Principe</w:t>
            </w:r>
          </w:p>
        </w:tc>
        <w:tc>
          <w:tcPr>
            <w:tcW w:type="dxa" w:w="70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Traduction concrète</w:t>
            </w:r>
          </w:p>
        </w:tc>
      </w:tr>
      <w:tr>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Consultation en 2 clics</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Écran d'accueil = champ de recherche unique. Clic 1 : saisie/scan de l'identifiant. Clic 2 : résultat. Aucune création de compte requise pour consulter le statut public.</w:t>
            </w:r>
          </w:p>
        </w:tc>
      </w:tr>
      <w:tr>
        <w:tc>
          <w:tcPr>
            <w:tcW w:type="dxa" w:w="2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Enregistrement &lt; 90 secondes</w:t>
            </w:r>
          </w:p>
        </w:tc>
        <w:tc>
          <w:tcPr>
            <w:tcW w:type="dxa" w:w="7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Formulaire en une seule vue progressive : type de bien → identifiant (saisie ou scan OCR de la carte grise/facture) → photos → envoi. Le KYC et les justificatifs de niveau 2 sont différables : on enregistre d'abord, on renforce ensuite.</w:t>
            </w:r>
          </w:p>
        </w:tc>
      </w:tr>
      <w:tr>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Scan plutôt que saisie</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OCR automatique (carte grise, facture, IMEI via *#06#, code-barres châssis) pour pré-remplir les champs. La saisie manuelle est le plan B, jamais le chemin principal.</w:t>
            </w:r>
          </w:p>
        </w:tc>
      </w:tr>
      <w:tr>
        <w:tc>
          <w:tcPr>
            <w:tcW w:type="dxa" w:w="2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Zéro jargon</w:t>
            </w:r>
          </w:p>
        </w:tc>
        <w:tc>
          <w:tcPr>
            <w:tcW w:type="dxa" w:w="7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Statuts en langage courant (« Déclaré », « Documenté », « Vérifié », « En location », « Volé déclaré », « Litige en cours ») avec code couleur univoque.</w:t>
            </w:r>
          </w:p>
        </w:tc>
      </w:tr>
      <w:tr>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Mobile-first, réseau faible</w:t>
            </w:r>
          </w:p>
        </w:tc>
        <w:tc>
          <w:tcPr>
            <w:tcW w:type="dxa" w:w="7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Application légère, écrans utilisables en 3G, files d'upload différé pour les photos et justificatifs.</w:t>
            </w:r>
          </w:p>
        </w:tc>
      </w:tr>
      <w:tr>
        <w:tc>
          <w:tcPr>
            <w:tcW w:type="dxa" w:w="2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Friction proportionnée au risque</w:t>
            </w:r>
          </w:p>
        </w:tc>
        <w:tc>
          <w:tcPr>
            <w:tcW w:type="dxa" w:w="7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Aucune friction pour consulter ; friction minimale pour déclarer ; friction forte uniquement là où elle protège (KYC, transfert, réclamation).</w:t>
            </w:r>
          </w:p>
        </w:tc>
      </w:tr>
    </w:tbl>
    <w:p>
      <w:pPr>
        <w:pStyle w:val="Heading1"/>
        <w:spacing w:after="180" w:before="360"/>
      </w:pPr>
      <w:r>
        <w:rPr>
          <w:rFonts w:ascii="Calibri" w:cs="Calibri" w:eastAsia="Calibri" w:hAnsi="Calibri"/>
          <w:b/>
          <w:bCs/>
          <w:color w:val="0B2545"/>
          <w:sz w:val="32"/>
          <w:szCs w:val="32"/>
        </w:rPr>
        <w:t xml:space="preserve">5. Utilisateurs cibles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Persona</w:t>
            </w:r>
          </w:p>
        </w:tc>
        <w:tc>
          <w:tcPr>
            <w:tcW w:type="dxa" w:w="34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Profil</w:t>
            </w:r>
          </w:p>
        </w:tc>
        <w:tc>
          <w:tcPr>
            <w:tcW w:type="dxa" w:w="36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Besoin principal</w:t>
            </w:r>
          </w:p>
        </w:tc>
      </w:tr>
      <w:tr>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Le loueur (B2B, cœur du MVP)</w:t>
            </w:r>
          </w:p>
        </w:tc>
        <w:tc>
          <w:tcPr>
            <w:tcW w:type="dxa" w:w="34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Société de location de véhicules, flotte de 3 à 100+ véhicules</w:t>
            </w:r>
          </w:p>
        </w:tc>
        <w:tc>
          <w:tcPr>
            <w:tcW w:type="dxa" w:w="3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Déclarer sa flotte « en location » pour rendre ses véhicules invendables frauduleusement ; être alerté en cas de tentative</w:t>
            </w:r>
          </w:p>
        </w:tc>
      </w:tr>
      <w:tr>
        <w:tc>
          <w:tcPr>
            <w:tcW w:type="dxa" w:w="2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L'acheteur prudent</w:t>
            </w:r>
          </w:p>
        </w:tc>
        <w:tc>
          <w:tcPr>
            <w:tcW w:type="dxa" w:w="34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Particulier achetant un véhicule, une moto ou un téléphone d'occasion</w:t>
            </w:r>
          </w:p>
        </w:tc>
        <w:tc>
          <w:tcPr>
            <w:tcW w:type="dxa" w:w="3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Vérifier en 2 clics le statut du bien avant de payer</w:t>
            </w:r>
          </w:p>
        </w:tc>
      </w:tr>
      <w:tr>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Le propriétaire particulier</w:t>
            </w:r>
          </w:p>
        </w:tc>
        <w:tc>
          <w:tcPr>
            <w:tcW w:type="dxa" w:w="34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Détenteur d'un téléphone, d'une moto, d'un véhicule personnel</w:t>
            </w:r>
          </w:p>
        </w:tc>
        <w:tc>
          <w:tcPr>
            <w:tcW w:type="dxa" w:w="3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Enregistrer son bien en moins de 90 secondes, déclarer un vol en un geste</w:t>
            </w:r>
          </w:p>
        </w:tc>
      </w:tr>
      <w:tr>
        <w:tc>
          <w:tcPr>
            <w:tcW w:type="dxa" w:w="2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Le propriétaire foncier</w:t>
            </w:r>
          </w:p>
        </w:tc>
        <w:tc>
          <w:tcPr>
            <w:tcW w:type="dxa" w:w="34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Détenteur d'un lot / ACD (phase 2)</w:t>
            </w:r>
          </w:p>
        </w:tc>
        <w:tc>
          <w:tcPr>
            <w:tcW w:type="dxa" w:w="3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Protéger son lot contre l'usurpation documentaire</w:t>
            </w:r>
          </w:p>
        </w:tc>
      </w:tr>
      <w:tr>
        <w:tc>
          <w:tcPr>
            <w:tcW w:type="dxa" w:w="2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L'agent d'arbitrage</w:t>
            </w:r>
          </w:p>
        </w:tc>
        <w:tc>
          <w:tcPr>
            <w:tcW w:type="dxa" w:w="34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Back-office Preuve</w:t>
            </w:r>
          </w:p>
        </w:tc>
        <w:tc>
          <w:tcPr>
            <w:tcW w:type="dxa" w:w="3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Instruire les réclamations avec une grille claire et un dossier horodaté</w:t>
            </w:r>
          </w:p>
        </w:tc>
      </w:tr>
    </w:tbl>
    <w:p>
      <w:pPr>
        <w:pStyle w:val="Heading1"/>
        <w:spacing w:after="180" w:before="360"/>
      </w:pPr>
      <w:r>
        <w:rPr>
          <w:rFonts w:ascii="Calibri" w:cs="Calibri" w:eastAsia="Calibri" w:hAnsi="Calibri"/>
          <w:b/>
          <w:bCs/>
          <w:color w:val="0B2545"/>
          <w:sz w:val="32"/>
          <w:szCs w:val="32"/>
        </w:rPr>
        <w:t xml:space="preserve">6. Objectifs et métriques de succès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00"/>
      </w:tblGrid>
      <w:tr>
        <w:trPr>
          <w:tblHeader/>
        </w:trPr>
        <w:tc>
          <w:tcPr>
            <w:tcW w:type="dxa" w:w="30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Objectif</w:t>
            </w:r>
          </w:p>
        </w:tc>
        <w:tc>
          <w:tcPr>
            <w:tcW w:type="dxa" w:w="36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Métrique</w:t>
            </w:r>
          </w:p>
        </w:tc>
        <w:tc>
          <w:tcPr>
            <w:tcW w:type="dxa" w:w="30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Cible à M+6 du lancement</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Amorcer l'effet réseau côté offre</w:t>
            </w:r>
          </w:p>
        </w:tc>
        <w:tc>
          <w:tcPr>
            <w:tcW w:type="dxa" w:w="3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Sociétés de location actives / véhicules enregistrés</w:t>
            </w:r>
          </w:p>
        </w:tc>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50 loueurs / 1 500 véhicules</w:t>
            </w:r>
          </w:p>
        </w:tc>
      </w:tr>
      <w:tr>
        <w:tc>
          <w:tcPr>
            <w:tcW w:type="dxa" w:w="3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Installer le réflexe de vérification</w:t>
            </w:r>
          </w:p>
        </w:tc>
        <w:tc>
          <w:tcPr>
            <w:tcW w:type="dxa" w:w="3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Consultations de statut / mois</w:t>
            </w:r>
          </w:p>
        </w:tc>
        <w:tc>
          <w:tcPr>
            <w:tcW w:type="dxa" w:w="3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10 000 consultations</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Prouver la valeur anti-fraude</w:t>
            </w:r>
          </w:p>
        </w:tc>
        <w:tc>
          <w:tcPr>
            <w:tcW w:type="dxa" w:w="3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Litiges gelés + tentatives de revente bloquées documentées</w:t>
            </w:r>
          </w:p>
        </w:tc>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20 cas documentés et communiqués</w:t>
            </w:r>
          </w:p>
        </w:tc>
      </w:tr>
      <w:tr>
        <w:tc>
          <w:tcPr>
            <w:tcW w:type="dxa" w:w="3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Vitesse d'usage</w:t>
            </w:r>
          </w:p>
        </w:tc>
        <w:tc>
          <w:tcPr>
            <w:tcW w:type="dxa" w:w="3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Temps médian d'enregistrement d'un bien</w:t>
            </w:r>
          </w:p>
        </w:tc>
        <w:tc>
          <w:tcPr>
            <w:tcW w:type="dxa" w:w="3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&lt; 90 secondes</w:t>
            </w:r>
          </w:p>
        </w:tc>
      </w:tr>
      <w:tr>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Vitesse de consultation</w:t>
            </w:r>
          </w:p>
        </w:tc>
        <w:tc>
          <w:tcPr>
            <w:tcW w:type="dxa" w:w="3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Taux de consultations abouties en ≤ 2 interactions</w:t>
            </w:r>
          </w:p>
        </w:tc>
        <w:tc>
          <w:tcPr>
            <w:tcW w:type="dxa" w:w="30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&gt; 95 %</w:t>
            </w:r>
          </w:p>
        </w:tc>
      </w:tr>
      <w:tr>
        <w:tc>
          <w:tcPr>
            <w:tcW w:type="dxa" w:w="3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Monétisation initiale</w:t>
            </w:r>
          </w:p>
        </w:tc>
        <w:tc>
          <w:tcPr>
            <w:tcW w:type="dxa" w:w="3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MRR abonnements flotte + rapports détaillés</w:t>
            </w:r>
          </w:p>
        </w:tc>
        <w:tc>
          <w:tcPr>
            <w:tcW w:type="dxa" w:w="30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Seuil de couverture des coûts d'infrastructure</w:t>
            </w:r>
          </w:p>
        </w:tc>
      </w:tr>
    </w:tbl>
    <w:p>
      <w:pPr>
        <w:pStyle w:val="Heading1"/>
        <w:spacing w:after="180" w:before="360"/>
      </w:pPr>
      <w:r>
        <w:rPr>
          <w:rFonts w:ascii="Calibri" w:cs="Calibri" w:eastAsia="Calibri" w:hAnsi="Calibri"/>
          <w:b/>
          <w:bCs/>
          <w:color w:val="0B2545"/>
          <w:sz w:val="32"/>
          <w:szCs w:val="32"/>
        </w:rPr>
        <w:t xml:space="preserve">7. Périmètre MVP</w:t>
      </w:r>
    </w:p>
    <w:p>
      <w:pPr>
        <w:pStyle w:val="Heading2"/>
        <w:spacing w:after="140" w:before="280"/>
      </w:pPr>
      <w:r>
        <w:rPr>
          <w:rFonts w:ascii="Calibri" w:cs="Calibri" w:eastAsia="Calibri" w:hAnsi="Calibri"/>
          <w:b/>
          <w:bCs/>
          <w:color w:val="D97706"/>
          <w:sz w:val="26"/>
          <w:szCs w:val="26"/>
        </w:rPr>
        <w:t xml:space="preserve">7.1 Inclus dans le MVP</w:t>
      </w:r>
    </w:p>
    <w:p>
      <w:pPr>
        <w:pStyle w:val="ListParagraph"/>
        <w:numPr>
          <w:ilvl w:val="0"/>
          <w:numId w:val="2"/>
        </w:numPr>
        <w:spacing w:after="100" w:line="264"/>
      </w:pPr>
      <w:r>
        <w:rPr>
          <w:rFonts w:ascii="Calibri" w:cs="Calibri" w:eastAsia="Calibri" w:hAnsi="Calibri"/>
          <w:b/>
          <w:bCs/>
          <w:sz w:val="22"/>
          <w:szCs w:val="22"/>
        </w:rPr>
        <w:t xml:space="preserve">Verticale prioritaire : véhicules et motos, avec offre B2B flotte pour les loueurs. Téléphones en auto-service particulier (coût marginal faible, forte fréquence d'usage, moteur d'adoption).</w:t>
      </w:r>
    </w:p>
    <w:p>
      <w:pPr>
        <w:pStyle w:val="ListParagraph"/>
        <w:numPr>
          <w:ilvl w:val="0"/>
          <w:numId w:val="2"/>
        </w:numPr>
        <w:spacing w:after="100" w:line="264"/>
      </w:pPr>
      <w:r>
        <w:rPr>
          <w:rFonts w:ascii="Calibri" w:cs="Calibri" w:eastAsia="Calibri" w:hAnsi="Calibri"/>
          <w:b w:val="false"/>
          <w:bCs w:val="false"/>
          <w:sz w:val="22"/>
          <w:szCs w:val="22"/>
        </w:rPr>
        <w:t xml:space="preserve">Consultation publique de statut en 2 clics, sans compte, gratuite (statut, niveau de fiabilité, ancienneté — jamais l'identité du déclarant).</w:t>
      </w:r>
    </w:p>
    <w:p>
      <w:pPr>
        <w:pStyle w:val="ListParagraph"/>
        <w:numPr>
          <w:ilvl w:val="0"/>
          <w:numId w:val="2"/>
        </w:numPr>
        <w:spacing w:after="100" w:line="264"/>
      </w:pPr>
      <w:r>
        <w:rPr>
          <w:rFonts w:ascii="Calibri" w:cs="Calibri" w:eastAsia="Calibri" w:hAnsi="Calibri"/>
          <w:b w:val="false"/>
          <w:bCs w:val="false"/>
          <w:sz w:val="22"/>
          <w:szCs w:val="22"/>
        </w:rPr>
        <w:t xml:space="preserve">Enregistrement express d'un bien (niveau 1) puis renforcement différé vers niveaux 2 et 3.</w:t>
      </w:r>
    </w:p>
    <w:p>
      <w:pPr>
        <w:pStyle w:val="ListParagraph"/>
        <w:numPr>
          <w:ilvl w:val="0"/>
          <w:numId w:val="2"/>
        </w:numPr>
        <w:spacing w:after="100" w:line="264"/>
      </w:pPr>
      <w:r>
        <w:rPr>
          <w:rFonts w:ascii="Calibri" w:cs="Calibri" w:eastAsia="Calibri" w:hAnsi="Calibri"/>
          <w:b w:val="false"/>
          <w:bCs w:val="false"/>
          <w:sz w:val="22"/>
          <w:szCs w:val="22"/>
        </w:rPr>
        <w:t xml:space="preserve">KYC déclarant (CNI + selfie liveness, OCR Mindee) requis pour le niveau 2 et pour toute réclamation ou transfert.</w:t>
      </w:r>
    </w:p>
    <w:p>
      <w:pPr>
        <w:pStyle w:val="ListParagraph"/>
        <w:numPr>
          <w:ilvl w:val="0"/>
          <w:numId w:val="2"/>
        </w:numPr>
        <w:spacing w:after="100" w:line="264"/>
      </w:pPr>
      <w:r>
        <w:rPr>
          <w:rFonts w:ascii="Calibri" w:cs="Calibri" w:eastAsia="Calibri" w:hAnsi="Calibri"/>
          <w:b w:val="false"/>
          <w:bCs w:val="false"/>
          <w:sz w:val="22"/>
          <w:szCs w:val="22"/>
        </w:rPr>
        <w:t xml:space="preserve">Fenêtre de contestation de 30 jours + alertes de veille sur identifiant.</w:t>
      </w:r>
    </w:p>
    <w:p>
      <w:pPr>
        <w:pStyle w:val="ListParagraph"/>
        <w:numPr>
          <w:ilvl w:val="0"/>
          <w:numId w:val="2"/>
        </w:numPr>
        <w:spacing w:after="100" w:line="264"/>
      </w:pPr>
      <w:r>
        <w:rPr>
          <w:rFonts w:ascii="Calibri" w:cs="Calibri" w:eastAsia="Calibri" w:hAnsi="Calibri"/>
          <w:b w:val="false"/>
          <w:bCs w:val="false"/>
          <w:sz w:val="22"/>
          <w:szCs w:val="22"/>
        </w:rPr>
        <w:t xml:space="preserve">Module de réclamation complet avec gel « Litige en cours » et back-office d'arbitrage.</w:t>
      </w:r>
    </w:p>
    <w:p>
      <w:pPr>
        <w:pStyle w:val="ListParagraph"/>
        <w:numPr>
          <w:ilvl w:val="0"/>
          <w:numId w:val="2"/>
        </w:numPr>
        <w:spacing w:after="100" w:line="264"/>
      </w:pPr>
      <w:r>
        <w:rPr>
          <w:rFonts w:ascii="Calibri" w:cs="Calibri" w:eastAsia="Calibri" w:hAnsi="Calibri"/>
          <w:b w:val="false"/>
          <w:bCs w:val="false"/>
          <w:sz w:val="22"/>
          <w:szCs w:val="22"/>
        </w:rPr>
        <w:t xml:space="preserve">Transfert de propriété à double validation + OTP, avec historique de chaîne.</w:t>
      </w:r>
    </w:p>
    <w:p>
      <w:pPr>
        <w:pStyle w:val="ListParagraph"/>
        <w:numPr>
          <w:ilvl w:val="0"/>
          <w:numId w:val="2"/>
        </w:numPr>
        <w:spacing w:after="100" w:line="264"/>
      </w:pPr>
      <w:r>
        <w:rPr>
          <w:rFonts w:ascii="Calibri" w:cs="Calibri" w:eastAsia="Calibri" w:hAnsi="Calibri"/>
          <w:b w:val="false"/>
          <w:bCs w:val="false"/>
          <w:sz w:val="22"/>
          <w:szCs w:val="22"/>
        </w:rPr>
        <w:t xml:space="preserve">Déclaration de vol en un geste (statut « Volé déclaré » immédiat, consolidé par récépissé de plainte).</w:t>
      </w:r>
    </w:p>
    <w:p>
      <w:pPr>
        <w:pStyle w:val="ListParagraph"/>
        <w:numPr>
          <w:ilvl w:val="0"/>
          <w:numId w:val="2"/>
        </w:numPr>
        <w:spacing w:after="100" w:line="264"/>
      </w:pPr>
      <w:r>
        <w:rPr>
          <w:rFonts w:ascii="Calibri" w:cs="Calibri" w:eastAsia="Calibri" w:hAnsi="Calibri"/>
          <w:b w:val="false"/>
          <w:bCs w:val="false"/>
          <w:sz w:val="22"/>
          <w:szCs w:val="22"/>
        </w:rPr>
        <w:t xml:space="preserve">Rapport détaillé payant à l'acte (historique, chaîne des détenteurs, détails documentaires) — modèle type Carfax.</w:t>
      </w:r>
    </w:p>
    <w:p>
      <w:pPr>
        <w:pStyle w:val="Heading2"/>
        <w:spacing w:after="140" w:before="280"/>
      </w:pPr>
      <w:r>
        <w:rPr>
          <w:rFonts w:ascii="Calibri" w:cs="Calibri" w:eastAsia="Calibri" w:hAnsi="Calibri"/>
          <w:b/>
          <w:bCs/>
          <w:color w:val="D97706"/>
          <w:sz w:val="26"/>
          <w:szCs w:val="26"/>
        </w:rPr>
        <w:t xml:space="preserve">7.2 Hors périmètre MVP (phase 2+)</w:t>
      </w:r>
    </w:p>
    <w:p>
      <w:pPr>
        <w:pStyle w:val="ListParagraph"/>
        <w:numPr>
          <w:ilvl w:val="0"/>
          <w:numId w:val="2"/>
        </w:numPr>
        <w:spacing w:after="100" w:line="264"/>
      </w:pPr>
      <w:r>
        <w:rPr>
          <w:rFonts w:ascii="Calibri" w:cs="Calibri" w:eastAsia="Calibri" w:hAnsi="Calibri"/>
          <w:b w:val="false"/>
          <w:bCs w:val="false"/>
          <w:sz w:val="22"/>
          <w:szCs w:val="22"/>
        </w:rPr>
        <w:t xml:space="preserve">Verticale foncier (nécessite partenariat institutionnel et cadrage juridique dédié — la plus lucrative mais la plus risquée).</w:t>
      </w:r>
    </w:p>
    <w:p>
      <w:pPr>
        <w:pStyle w:val="ListParagraph"/>
        <w:numPr>
          <w:ilvl w:val="0"/>
          <w:numId w:val="2"/>
        </w:numPr>
        <w:spacing w:after="100" w:line="264"/>
      </w:pPr>
      <w:r>
        <w:rPr>
          <w:rFonts w:ascii="Calibri" w:cs="Calibri" w:eastAsia="Calibri" w:hAnsi="Calibri"/>
          <w:b w:val="false"/>
          <w:bCs w:val="false"/>
          <w:sz w:val="22"/>
          <w:szCs w:val="22"/>
        </w:rPr>
        <w:t xml:space="preserve">Rapprochements institutionnels automatisés (fichiers d'immatriculation, bases IMEI).</w:t>
      </w:r>
    </w:p>
    <w:p>
      <w:pPr>
        <w:pStyle w:val="ListParagraph"/>
        <w:numPr>
          <w:ilvl w:val="0"/>
          <w:numId w:val="2"/>
        </w:numPr>
        <w:spacing w:after="100" w:line="264"/>
      </w:pPr>
      <w:r>
        <w:rPr>
          <w:rFonts w:ascii="Calibri" w:cs="Calibri" w:eastAsia="Calibri" w:hAnsi="Calibri"/>
          <w:b w:val="false"/>
          <w:bCs w:val="false"/>
          <w:sz w:val="22"/>
          <w:szCs w:val="22"/>
        </w:rPr>
        <w:t xml:space="preserve">API B2B pour assureurs, banques (financement automobile) et forces de l'ordre.</w:t>
      </w:r>
    </w:p>
    <w:p>
      <w:pPr>
        <w:pStyle w:val="ListParagraph"/>
        <w:numPr>
          <w:ilvl w:val="0"/>
          <w:numId w:val="2"/>
        </w:numPr>
        <w:spacing w:after="100" w:line="264"/>
      </w:pPr>
      <w:r>
        <w:rPr>
          <w:rFonts w:ascii="Calibri" w:cs="Calibri" w:eastAsia="Calibri" w:hAnsi="Calibri"/>
          <w:b w:val="false"/>
          <w:bCs w:val="false"/>
          <w:sz w:val="22"/>
          <w:szCs w:val="22"/>
        </w:rPr>
        <w:t xml:space="preserve">Extension régionale UEMOA (Sénégal, Mali, Bénin).</w:t>
      </w:r>
    </w:p>
    <w:p>
      <w:pPr>
        <w:pStyle w:val="Heading1"/>
        <w:spacing w:after="180" w:before="360"/>
      </w:pPr>
      <w:r>
        <w:rPr>
          <w:rFonts w:ascii="Calibri" w:cs="Calibri" w:eastAsia="Calibri" w:hAnsi="Calibri"/>
          <w:b/>
          <w:bCs/>
          <w:color w:val="0B2545"/>
          <w:sz w:val="32"/>
          <w:szCs w:val="32"/>
        </w:rPr>
        <w:t xml:space="preserve">8. Vue d'ensemble des epics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600"/>
      </w:tblGrid>
      <w:tr>
        <w:trPr>
          <w:tblHeader/>
        </w:trPr>
        <w:tc>
          <w:tcPr>
            <w:tcW w:type="dxa" w:w="12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Epic</w:t>
            </w:r>
          </w:p>
        </w:tc>
        <w:tc>
          <w:tcPr>
            <w:tcW w:type="dxa" w:w="28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Intitulé</w:t>
            </w:r>
          </w:p>
        </w:tc>
        <w:tc>
          <w:tcPr>
            <w:tcW w:type="dxa" w:w="56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Contenu synthétique</w:t>
            </w:r>
          </w:p>
        </w:tc>
      </w:tr>
      <w:tr>
        <w:tc>
          <w:tcPr>
            <w:tcW w:type="dxa" w:w="1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EP-01</w:t>
            </w:r>
          </w:p>
        </w:tc>
        <w:tc>
          <w:tcPr>
            <w:tcW w:type="dxa" w:w="2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Socle &amp; comptes</w:t>
            </w:r>
          </w:p>
        </w:tc>
        <w:tc>
          <w:tcPr>
            <w:tcW w:type="dxa" w:w="5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Comptes particuliers et entreprises, KYC Mindee, gestion des rôles, RGPD/Loi 2013-450</w:t>
            </w:r>
          </w:p>
        </w:tc>
      </w:tr>
      <w:tr>
        <w:tc>
          <w:tcPr>
            <w:tcW w:type="dxa" w:w="12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EP-02</w:t>
            </w:r>
          </w:p>
        </w:tc>
        <w:tc>
          <w:tcPr>
            <w:tcW w:type="dxa" w:w="2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Enregistrement express</w:t>
            </w:r>
          </w:p>
        </w:tc>
        <w:tc>
          <w:tcPr>
            <w:tcW w:type="dxa" w:w="5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Formulaire une vue, scan OCR, upload différé, niveaux de fiabilité, renforcement différé</w:t>
            </w:r>
          </w:p>
        </w:tc>
      </w:tr>
      <w:tr>
        <w:tc>
          <w:tcPr>
            <w:tcW w:type="dxa" w:w="1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EP-03</w:t>
            </w:r>
          </w:p>
        </w:tc>
        <w:tc>
          <w:tcPr>
            <w:tcW w:type="dxa" w:w="2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Consultation 2 clics</w:t>
            </w:r>
          </w:p>
        </w:tc>
        <w:tc>
          <w:tcPr>
            <w:tcW w:type="dxa" w:w="5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Recherche par identifiant, page de statut public, code couleur, sans compte</w:t>
            </w:r>
          </w:p>
        </w:tc>
      </w:tr>
      <w:tr>
        <w:tc>
          <w:tcPr>
            <w:tcW w:type="dxa" w:w="12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EP-04</w:t>
            </w:r>
          </w:p>
        </w:tc>
        <w:tc>
          <w:tcPr>
            <w:tcW w:type="dxa" w:w="2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Confiance graduée</w:t>
            </w:r>
          </w:p>
        </w:tc>
        <w:tc>
          <w:tcPr>
            <w:tcW w:type="dxa" w:w="5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Moteur de scoring, signaux temporels, fenêtre de contestation, alertes de veille</w:t>
            </w:r>
          </w:p>
        </w:tc>
      </w:tr>
      <w:tr>
        <w:tc>
          <w:tcPr>
            <w:tcW w:type="dxa" w:w="1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EP-05</w:t>
            </w:r>
          </w:p>
        </w:tc>
        <w:tc>
          <w:tcPr>
            <w:tcW w:type="dxa" w:w="2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Réclamation &amp; arbitrage</w:t>
            </w:r>
          </w:p>
        </w:tc>
        <w:tc>
          <w:tcPr>
            <w:tcW w:type="dxa" w:w="5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Dépôt, gel « Litige », contradictoire, grille d'arbitrage, back-office, hash chaîné</w:t>
            </w:r>
          </w:p>
        </w:tc>
      </w:tr>
      <w:tr>
        <w:tc>
          <w:tcPr>
            <w:tcW w:type="dxa" w:w="12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EP-06</w:t>
            </w:r>
          </w:p>
        </w:tc>
        <w:tc>
          <w:tcPr>
            <w:tcW w:type="dxa" w:w="2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Transferts &amp; cycle de vie</w:t>
            </w:r>
          </w:p>
        </w:tc>
        <w:tc>
          <w:tcPr>
            <w:tcW w:type="dxa" w:w="5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Double validation + OTP, chaîne des détenteurs, statuts de vie (location, vol, épave, litige)</w:t>
            </w:r>
          </w:p>
        </w:tc>
      </w:tr>
      <w:tr>
        <w:tc>
          <w:tcPr>
            <w:tcW w:type="dxa" w:w="1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EP-07</w:t>
            </w:r>
          </w:p>
        </w:tc>
        <w:tc>
          <w:tcPr>
            <w:tcW w:type="dxa" w:w="2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Offre B2B flotte</w:t>
            </w:r>
          </w:p>
        </w:tc>
        <w:tc>
          <w:tcPr>
            <w:tcW w:type="dxa" w:w="5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Import de flotte, tableau de bord loueur, alertes, facturation par véhicule</w:t>
            </w:r>
          </w:p>
        </w:tc>
      </w:tr>
      <w:tr>
        <w:tc>
          <w:tcPr>
            <w:tcW w:type="dxa" w:w="12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EP-08</w:t>
            </w:r>
          </w:p>
        </w:tc>
        <w:tc>
          <w:tcPr>
            <w:tcW w:type="dxa" w:w="2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Monétisation</w:t>
            </w:r>
          </w:p>
        </w:tc>
        <w:tc>
          <w:tcPr>
            <w:tcW w:type="dxa" w:w="56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Freemium, paiement à l'acte des rapports, abonnements flotte (Paystack, Wave, Orange Money, MTN MoMo)</w:t>
            </w:r>
          </w:p>
        </w:tc>
      </w:tr>
      <w:tr>
        <w:tc>
          <w:tcPr>
            <w:tcW w:type="dxa" w:w="1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EP-09</w:t>
            </w:r>
          </w:p>
        </w:tc>
        <w:tc>
          <w:tcPr>
            <w:tcW w:type="dxa" w:w="2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Back-office &amp; observabilité</w:t>
            </w:r>
          </w:p>
        </w:tc>
        <w:tc>
          <w:tcPr>
            <w:tcW w:type="dxa" w:w="56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Administration, modération, journaux d'audit, indicateurs anti-fraude</w:t>
            </w:r>
          </w:p>
        </w:tc>
      </w:tr>
    </w:tbl>
    <w:p>
      <w:pPr>
        <w:pStyle w:val="Heading1"/>
        <w:spacing w:after="180" w:before="360"/>
      </w:pPr>
      <w:r>
        <w:rPr>
          <w:rFonts w:ascii="Calibri" w:cs="Calibri" w:eastAsia="Calibri" w:hAnsi="Calibri"/>
          <w:b/>
          <w:bCs/>
          <w:color w:val="0B2545"/>
          <w:sz w:val="32"/>
          <w:szCs w:val="32"/>
        </w:rPr>
        <w:t xml:space="preserve">9. Modèle de monétisation</w:t>
      </w:r>
    </w:p>
    <w:p>
      <w:pPr>
        <w:pStyle w:val="ListParagraph"/>
        <w:numPr>
          <w:ilvl w:val="0"/>
          <w:numId w:val="2"/>
        </w:numPr>
        <w:spacing w:after="100" w:line="264"/>
      </w:pPr>
      <w:r>
        <w:rPr>
          <w:rFonts w:ascii="Calibri" w:cs="Calibri" w:eastAsia="Calibri" w:hAnsi="Calibri"/>
          <w:b/>
          <w:bCs/>
          <w:sz w:val="22"/>
          <w:szCs w:val="22"/>
        </w:rPr>
        <w:t xml:space="preserve">Consultation de statut : gratuite et illimitée — c'est le moteur de l'effet réseau et du réflexe de marché. Ne jamais la monétiser.</w:t>
      </w:r>
    </w:p>
    <w:p>
      <w:pPr>
        <w:pStyle w:val="ListParagraph"/>
        <w:numPr>
          <w:ilvl w:val="0"/>
          <w:numId w:val="2"/>
        </w:numPr>
        <w:spacing w:after="100" w:line="264"/>
      </w:pPr>
      <w:r>
        <w:rPr>
          <w:rFonts w:ascii="Calibri" w:cs="Calibri" w:eastAsia="Calibri" w:hAnsi="Calibri"/>
          <w:b w:val="false"/>
          <w:bCs w:val="false"/>
          <w:sz w:val="22"/>
          <w:szCs w:val="22"/>
        </w:rPr>
        <w:t xml:space="preserve">Rapport détaillé : payant à l'acte (historique complet, chaîne des détenteurs, détails documentaires), modèle Carfax adapté au pouvoir d'achat local.</w:t>
      </w:r>
    </w:p>
    <w:p>
      <w:pPr>
        <w:pStyle w:val="ListParagraph"/>
        <w:numPr>
          <w:ilvl w:val="0"/>
          <w:numId w:val="2"/>
        </w:numPr>
        <w:spacing w:after="100" w:line="264"/>
      </w:pPr>
      <w:r>
        <w:rPr>
          <w:rFonts w:ascii="Calibri" w:cs="Calibri" w:eastAsia="Calibri" w:hAnsi="Calibri"/>
          <w:b w:val="false"/>
          <w:bCs w:val="false"/>
          <w:sz w:val="22"/>
          <w:szCs w:val="22"/>
        </w:rPr>
        <w:t xml:space="preserve">Particuliers : 3 biens enregistrés gratuits, puis micro-paiement par bien supplémentaire.</w:t>
      </w:r>
    </w:p>
    <w:p>
      <w:pPr>
        <w:pStyle w:val="ListParagraph"/>
        <w:numPr>
          <w:ilvl w:val="0"/>
          <w:numId w:val="2"/>
        </w:numPr>
        <w:spacing w:after="100" w:line="264"/>
      </w:pPr>
      <w:r>
        <w:rPr>
          <w:rFonts w:ascii="Calibri" w:cs="Calibri" w:eastAsia="Calibri" w:hAnsi="Calibri"/>
          <w:b w:val="false"/>
          <w:bCs w:val="false"/>
          <w:sz w:val="22"/>
          <w:szCs w:val="22"/>
        </w:rPr>
        <w:t xml:space="preserve">Entreprises (loueurs) : 3 véhicules gratuits, puis abonnement mensuel par véhicule de flotte.</w:t>
      </w:r>
    </w:p>
    <w:p>
      <w:pPr>
        <w:pStyle w:val="ListParagraph"/>
        <w:numPr>
          <w:ilvl w:val="0"/>
          <w:numId w:val="2"/>
        </w:numPr>
        <w:spacing w:after="100" w:line="264"/>
      </w:pPr>
      <w:r>
        <w:rPr>
          <w:rFonts w:ascii="Calibri" w:cs="Calibri" w:eastAsia="Calibri" w:hAnsi="Calibri"/>
          <w:b w:val="false"/>
          <w:bCs w:val="false"/>
          <w:sz w:val="22"/>
          <w:szCs w:val="22"/>
        </w:rPr>
        <w:t xml:space="preserve">Frais de dossier de réclamation : modiques, remboursés si la réclamation aboutit (filtre anti-abus, pas une source de revenu).</w:t>
      </w:r>
    </w:p>
    <w:p>
      <w:pPr>
        <w:pStyle w:val="ListParagraph"/>
        <w:numPr>
          <w:ilvl w:val="0"/>
          <w:numId w:val="2"/>
        </w:numPr>
        <w:spacing w:after="100" w:line="264"/>
      </w:pPr>
      <w:r>
        <w:rPr>
          <w:rFonts w:ascii="Calibri" w:cs="Calibri" w:eastAsia="Calibri" w:hAnsi="Calibri"/>
          <w:b w:val="false"/>
          <w:bCs w:val="false"/>
          <w:sz w:val="22"/>
          <w:szCs w:val="22"/>
        </w:rPr>
        <w:t xml:space="preserve">Phase 2 : API B2B (assureurs, banques) en licence annuelle.</w:t>
      </w:r>
    </w:p>
    <w:p>
      <w:pPr>
        <w:pStyle w:val="Heading1"/>
        <w:spacing w:after="180" w:before="360"/>
      </w:pPr>
      <w:r>
        <w:rPr>
          <w:rFonts w:ascii="Calibri" w:cs="Calibri" w:eastAsia="Calibri" w:hAnsi="Calibri"/>
          <w:b/>
          <w:bCs/>
          <w:color w:val="0B2545"/>
          <w:sz w:val="32"/>
          <w:szCs w:val="32"/>
        </w:rPr>
        <w:t xml:space="preserve">10. Considérations techniques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900"/>
      </w:tblGrid>
      <w:tr>
        <w:trPr>
          <w:tblHeader/>
        </w:trPr>
        <w:tc>
          <w:tcPr>
            <w:tcW w:type="dxa" w:w="19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Domaine</w:t>
            </w:r>
          </w:p>
        </w:tc>
        <w:tc>
          <w:tcPr>
            <w:tcW w:type="dxa" w:w="38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Choix</w:t>
            </w:r>
          </w:p>
        </w:tc>
        <w:tc>
          <w:tcPr>
            <w:tcW w:type="dxa" w:w="39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Justification</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Backend</w:t>
            </w:r>
          </w:p>
        </w:tc>
        <w:tc>
          <w:tcPr>
            <w:tcW w:type="dxa" w:w="3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Laravel 11 (API REST), PostgreSQL, Redis/Horizon</w:t>
            </w:r>
          </w:p>
        </w:tc>
        <w:tc>
          <w:tcPr>
            <w:tcW w:type="dxa" w:w="3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Stack maîtrisée OVERNETFLOW, files d'attente pour OCR et uploads différés</w:t>
            </w:r>
          </w:p>
        </w:tc>
      </w:tr>
      <w:tr>
        <w:tc>
          <w:tcPr>
            <w:tcW w:type="dxa" w:w="1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Mobile</w:t>
            </w:r>
          </w:p>
        </w:tc>
        <w:tc>
          <w:tcPr>
            <w:tcW w:type="dxa" w:w="3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Flutter (iOS/Android)</w:t>
            </w:r>
          </w:p>
        </w:tc>
        <w:tc>
          <w:tcPr>
            <w:tcW w:type="dxa" w:w="3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Base de code unique, réseau faible, capacités scan/caméra natives</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Web public</w:t>
            </w:r>
          </w:p>
        </w:tc>
        <w:tc>
          <w:tcPr>
            <w:tcW w:type="dxa" w:w="3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Front léger orienté consultation (SEO sur les pages de statut)</w:t>
            </w:r>
          </w:p>
        </w:tc>
        <w:tc>
          <w:tcPr>
            <w:tcW w:type="dxa" w:w="3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La consultation doit être accessible sans installation d'application</w:t>
            </w:r>
          </w:p>
        </w:tc>
      </w:tr>
      <w:tr>
        <w:tc>
          <w:tcPr>
            <w:tcW w:type="dxa" w:w="1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KYC &amp; OCR</w:t>
            </w:r>
          </w:p>
        </w:tc>
        <w:tc>
          <w:tcPr>
            <w:tcW w:type="dxa" w:w="3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Mindee (CNI, carte grise, factures) + selfie liveness</w:t>
            </w:r>
          </w:p>
        </w:tc>
        <w:tc>
          <w:tcPr>
            <w:tcW w:type="dxa" w:w="3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Pattern éprouvé (MA2E), pré-remplissage des formulaires</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Intégrité</w:t>
            </w:r>
          </w:p>
        </w:tc>
        <w:tc>
          <w:tcPr>
            <w:tcW w:type="dxa" w:w="3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Horodatage + hash SHA-256 chaîné en base</w:t>
            </w:r>
          </w:p>
        </w:tc>
        <w:tc>
          <w:tcPr>
            <w:tcW w:type="dxa" w:w="3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Inaltérabilité opposable sans la complexité d'une blockchain</w:t>
            </w:r>
          </w:p>
        </w:tc>
      </w:tr>
      <w:tr>
        <w:tc>
          <w:tcPr>
            <w:tcW w:type="dxa" w:w="1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Stockage documents</w:t>
            </w:r>
          </w:p>
        </w:tc>
        <w:tc>
          <w:tcPr>
            <w:tcW w:type="dxa" w:w="3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MinIO (objets), chiffrement au repos</w:t>
            </w:r>
          </w:p>
        </w:tc>
        <w:tc>
          <w:tcPr>
            <w:tcW w:type="dxa" w:w="3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Justificatifs sensibles, souveraineté des données</w:t>
            </w:r>
          </w:p>
        </w:tc>
      </w:tr>
      <w:tr>
        <w:tc>
          <w:tcPr>
            <w:tcW w:type="dxa" w:w="1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Paiements</w:t>
            </w:r>
          </w:p>
        </w:tc>
        <w:tc>
          <w:tcPr>
            <w:tcW w:type="dxa" w:w="38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Paystack + Wave, Orange Money, MTN MoMo (PawaPay)</w:t>
            </w:r>
          </w:p>
        </w:tc>
        <w:tc>
          <w:tcPr>
            <w:tcW w:type="dxa" w:w="39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Couverture Mobile Money locale ; CinetPay exclu</w:t>
            </w:r>
          </w:p>
        </w:tc>
      </w:tr>
      <w:tr>
        <w:tc>
          <w:tcPr>
            <w:tcW w:type="dxa" w:w="1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Sécurité</w:t>
            </w:r>
          </w:p>
        </w:tc>
        <w:tc>
          <w:tcPr>
            <w:tcW w:type="dxa" w:w="38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OTP transferts, chiffrement, Vault pour les secrets, journaux d'audit</w:t>
            </w:r>
          </w:p>
        </w:tc>
        <w:tc>
          <w:tcPr>
            <w:tcW w:type="dxa" w:w="39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Surface d'attaque élevée (usurpation d'identité = cœur du risque)</w:t>
            </w:r>
          </w:p>
        </w:tc>
      </w:tr>
    </w:tbl>
    <w:p>
      <w:pPr>
        <w:pStyle w:val="Heading1"/>
        <w:spacing w:after="180" w:before="360"/>
      </w:pPr>
      <w:r>
        <w:rPr>
          <w:rFonts w:ascii="Calibri" w:cs="Calibri" w:eastAsia="Calibri" w:hAnsi="Calibri"/>
          <w:b/>
          <w:bCs/>
          <w:color w:val="0B2545"/>
          <w:sz w:val="32"/>
          <w:szCs w:val="32"/>
        </w:rPr>
        <w:t xml:space="preserve">11. Conformité et cadre juridique</w:t>
      </w:r>
    </w:p>
    <w:p>
      <w:pPr>
        <w:pStyle w:val="ListParagraph"/>
        <w:numPr>
          <w:ilvl w:val="0"/>
          <w:numId w:val="2"/>
        </w:numPr>
        <w:spacing w:after="100" w:line="264"/>
      </w:pPr>
      <w:r>
        <w:rPr>
          <w:rFonts w:ascii="Calibri" w:cs="Calibri" w:eastAsia="Calibri" w:hAnsi="Calibri"/>
          <w:b w:val="false"/>
          <w:bCs w:val="false"/>
          <w:sz w:val="22"/>
          <w:szCs w:val="22"/>
        </w:rPr>
        <w:t xml:space="preserve">Loi ivoirienne n°2013-450 relative à la protection des données à caractère personnel : déclaration ARTCI, minimisation des données, consentement explicite au KYC, droit d'accès et de rectification.</w:t>
      </w:r>
    </w:p>
    <w:p>
      <w:pPr>
        <w:pStyle w:val="ListParagraph"/>
        <w:numPr>
          <w:ilvl w:val="0"/>
          <w:numId w:val="2"/>
        </w:numPr>
        <w:spacing w:after="100" w:line="264"/>
      </w:pPr>
      <w:r>
        <w:rPr>
          <w:rFonts w:ascii="Calibri" w:cs="Calibri" w:eastAsia="Calibri" w:hAnsi="Calibri"/>
          <w:b w:val="false"/>
          <w:bCs w:val="false"/>
          <w:sz w:val="22"/>
          <w:szCs w:val="22"/>
        </w:rPr>
        <w:t xml:space="preserve">Anonymat de la consultation publique : le statut d'un bien est public, l'identité du déclarant ne l'est jamais. Seule l'autorité judiciaire peut obtenir une levée d'anonymat sur réquisition.</w:t>
      </w:r>
    </w:p>
    <w:p>
      <w:pPr>
        <w:pStyle w:val="ListParagraph"/>
        <w:numPr>
          <w:ilvl w:val="0"/>
          <w:numId w:val="2"/>
        </w:numPr>
        <w:spacing w:after="100" w:line="264"/>
      </w:pPr>
      <w:r>
        <w:rPr>
          <w:rFonts w:ascii="Calibri" w:cs="Calibri" w:eastAsia="Calibri" w:hAnsi="Calibri"/>
          <w:b w:val="false"/>
          <w:bCs w:val="false"/>
          <w:sz w:val="22"/>
          <w:szCs w:val="22"/>
        </w:rPr>
        <w:t xml:space="preserve">CGU verrouillées : Preuve fournit une présomption d'antériorité déclarative et un service de signalement — jamais un titre de propriété ni une décision de justice. Les litiges non tranchés sont renvoyés vers la justice avec export horodaté du dossier.</w:t>
      </w:r>
    </w:p>
    <w:p>
      <w:pPr>
        <w:pStyle w:val="ListParagraph"/>
        <w:numPr>
          <w:ilvl w:val="0"/>
          <w:numId w:val="2"/>
        </w:numPr>
        <w:spacing w:after="100" w:line="264"/>
      </w:pPr>
      <w:r>
        <w:rPr>
          <w:rFonts w:ascii="Calibri" w:cs="Calibri" w:eastAsia="Calibri" w:hAnsi="Calibri"/>
          <w:b w:val="false"/>
          <w:bCs w:val="false"/>
          <w:sz w:val="22"/>
          <w:szCs w:val="22"/>
        </w:rPr>
        <w:t xml:space="preserve">Conservation des justificatifs : durée limitée, chiffrement au repos, accès journalisé.</w:t>
      </w:r>
    </w:p>
    <w:p>
      <w:pPr>
        <w:pStyle w:val="Heading1"/>
        <w:spacing w:after="180" w:before="360"/>
      </w:pPr>
      <w:r>
        <w:rPr>
          <w:rFonts w:ascii="Calibri" w:cs="Calibri" w:eastAsia="Calibri" w:hAnsi="Calibri"/>
          <w:b/>
          <w:bCs/>
          <w:color w:val="0B2545"/>
          <w:sz w:val="32"/>
          <w:szCs w:val="32"/>
        </w:rPr>
        <w:t xml:space="preserve">12. Risques et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100"/>
        <w:gridCol w:w="1300"/>
        <w:gridCol w:w="5200"/>
      </w:tblGrid>
      <w:tr>
        <w:trPr>
          <w:tblHeader/>
        </w:trPr>
        <w:tc>
          <w:tcPr>
            <w:tcW w:type="dxa" w:w="31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Risque</w:t>
            </w:r>
          </w:p>
        </w:tc>
        <w:tc>
          <w:tcPr>
            <w:tcW w:type="dxa" w:w="13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Impact</w:t>
            </w:r>
          </w:p>
        </w:tc>
        <w:tc>
          <w:tcPr>
            <w:tcW w:type="dxa" w:w="5200"/>
            <w:shd w:fill="0B2545"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Mitigation</w:t>
            </w:r>
          </w:p>
        </w:tc>
      </w:tr>
      <w:tr>
        <w:tc>
          <w:tcPr>
            <w:tcW w:type="dxa" w:w="31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Squat d'enregistrement par des fraudeurs</w:t>
            </w:r>
          </w:p>
        </w:tc>
        <w:tc>
          <w:tcPr>
            <w:tcW w:type="dxa" w:w="13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Critique</w:t>
            </w:r>
          </w:p>
        </w:tc>
        <w:tc>
          <w:tcPr>
            <w:tcW w:type="dxa" w:w="5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Confiance graduée, signaux temporels non antidatables, fenêtre de contestation 30 j, module de réclamation avec gel</w:t>
            </w:r>
          </w:p>
        </w:tc>
      </w:tr>
      <w:tr>
        <w:tc>
          <w:tcPr>
            <w:tcW w:type="dxa" w:w="31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Cold start (registre vide = consultation inutile)</w:t>
            </w:r>
          </w:p>
        </w:tc>
        <w:tc>
          <w:tcPr>
            <w:tcW w:type="dxa" w:w="13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Élevé</w:t>
            </w:r>
          </w:p>
        </w:tc>
        <w:tc>
          <w:tcPr>
            <w:tcW w:type="dxa" w:w="52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Verticale loueurs B2B d'abord (offre concentrée), communication sur les affaires d'actualité, enregistrement téléphone gratuit et viral</w:t>
            </w:r>
          </w:p>
        </w:tc>
      </w:tr>
      <w:tr>
        <w:tc>
          <w:tcPr>
            <w:tcW w:type="dxa" w:w="31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Responsabilité juridique en cas d'arbitrage contesté</w:t>
            </w:r>
          </w:p>
        </w:tc>
        <w:tc>
          <w:tcPr>
            <w:tcW w:type="dxa" w:w="13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Élevé</w:t>
            </w:r>
          </w:p>
        </w:tc>
        <w:tc>
          <w:tcPr>
            <w:tcW w:type="dxa" w:w="5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CGU « présomption déclarative », issue « litige non tranché », renvoi justice, traçabilité hash</w:t>
            </w:r>
          </w:p>
        </w:tc>
      </w:tr>
      <w:tr>
        <w:tc>
          <w:tcPr>
            <w:tcW w:type="dxa" w:w="31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Usurpation d'identité au KYC</w:t>
            </w:r>
          </w:p>
        </w:tc>
        <w:tc>
          <w:tcPr>
            <w:tcW w:type="dxa" w:w="13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Élevé</w:t>
            </w:r>
          </w:p>
        </w:tc>
        <w:tc>
          <w:tcPr>
            <w:tcW w:type="dxa" w:w="52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Liveness, contrôle croisé CNI, unicité stricte des identifiants de biens (un identifiant = un enregistrement actif)</w:t>
            </w:r>
          </w:p>
        </w:tc>
      </w:tr>
      <w:tr>
        <w:tc>
          <w:tcPr>
            <w:tcW w:type="dxa" w:w="31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Curiosité malveillante (profilage via plaques)</w:t>
            </w:r>
          </w:p>
        </w:tc>
        <w:tc>
          <w:tcPr>
            <w:tcW w:type="dxa" w:w="13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Moyen</w:t>
            </w:r>
          </w:p>
        </w:tc>
        <w:tc>
          <w:tcPr>
            <w:tcW w:type="dxa" w:w="5200"/>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Réponse binaire anonyme, pas d'identité exposée, limitation de débit sur les consultations</w:t>
            </w:r>
          </w:p>
        </w:tc>
      </w:tr>
      <w:tr>
        <w:tc>
          <w:tcPr>
            <w:tcW w:type="dxa" w:w="31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Friction excessive tuant l'adoption</w:t>
            </w:r>
          </w:p>
        </w:tc>
        <w:tc>
          <w:tcPr>
            <w:tcW w:type="dxa" w:w="13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Moyen</w:t>
            </w:r>
          </w:p>
        </w:tc>
        <w:tc>
          <w:tcPr>
            <w:tcW w:type="dxa" w:w="5200"/>
            <w:shd w:fill="F2F5FA" w:val="clear"/>
            <w:tcMar>
              <w:top w:type="dxa" w:w="80"/>
              <w:left w:type="dxa" w:w="120"/>
              <w:bottom w:type="dxa" w:w="80"/>
              <w:right w:type="dxa" w:w="120"/>
            </w:tcMar>
          </w:tcPr>
          <w:p>
            <w:pPr>
              <w:jc w:val="left"/>
            </w:pPr>
            <w:r>
              <w:rPr>
                <w:rFonts w:ascii="Calibri" w:cs="Calibri" w:eastAsia="Calibri" w:hAnsi="Calibri"/>
                <w:b w:val="false"/>
                <w:bCs w:val="false"/>
                <w:color w:val="1A1A1A"/>
                <w:sz w:val="20"/>
                <w:szCs w:val="20"/>
              </w:rPr>
              <w:t xml:space="preserve">Principes UX §4 comme critères d'acceptation transverses de chaque story</w:t>
            </w:r>
          </w:p>
        </w:tc>
      </w:tr>
    </w:tbl>
    <w:p>
      <w:pPr>
        <w:pStyle w:val="Heading1"/>
        <w:spacing w:after="180" w:before="360"/>
      </w:pPr>
      <w:r>
        <w:rPr>
          <w:rFonts w:ascii="Calibri" w:cs="Calibri" w:eastAsia="Calibri" w:hAnsi="Calibri"/>
          <w:b/>
          <w:bCs/>
          <w:color w:val="0B2545"/>
          <w:sz w:val="32"/>
          <w:szCs w:val="32"/>
        </w:rPr>
        <w:t xml:space="preserve">13. Prochaines étapes BMAD</w:t>
      </w:r>
    </w:p>
    <w:p>
      <w:pPr>
        <w:pStyle w:val="ListParagraph"/>
        <w:numPr>
          <w:ilvl w:val="0"/>
          <w:numId w:val="2"/>
        </w:numPr>
        <w:spacing w:after="100" w:line="264"/>
      </w:pPr>
      <w:r>
        <w:rPr>
          <w:rFonts w:ascii="Calibri" w:cs="Calibri" w:eastAsia="Calibri" w:hAnsi="Calibri"/>
          <w:b w:val="false"/>
          <w:bCs w:val="false"/>
          <w:sz w:val="22"/>
          <w:szCs w:val="22"/>
        </w:rPr>
        <w:t xml:space="preserve">Valider ce Project Brief (choix du nom définitif « Preuve » inclus — vérifier la disponibilité de la marque et du domaine).</w:t>
      </w:r>
    </w:p>
    <w:p>
      <w:pPr>
        <w:pStyle w:val="ListParagraph"/>
        <w:numPr>
          <w:ilvl w:val="0"/>
          <w:numId w:val="2"/>
        </w:numPr>
        <w:spacing w:after="100" w:line="264"/>
      </w:pPr>
      <w:r>
        <w:rPr>
          <w:rFonts w:ascii="Calibri" w:cs="Calibri" w:eastAsia="Calibri" w:hAnsi="Calibri"/>
          <w:b w:val="false"/>
          <w:bCs w:val="false"/>
          <w:sz w:val="22"/>
          <w:szCs w:val="22"/>
        </w:rPr>
        <w:t xml:space="preserve">Produire le PRD détaillé (workflows complets, règles de la grille d'arbitrage, matrice des statuts de bien).</w:t>
      </w:r>
    </w:p>
    <w:p>
      <w:pPr>
        <w:pStyle w:val="ListParagraph"/>
        <w:numPr>
          <w:ilvl w:val="0"/>
          <w:numId w:val="2"/>
        </w:numPr>
        <w:spacing w:after="100" w:line="264"/>
      </w:pPr>
      <w:r>
        <w:rPr>
          <w:rFonts w:ascii="Calibri" w:cs="Calibri" w:eastAsia="Calibri" w:hAnsi="Calibri"/>
          <w:b w:val="false"/>
          <w:bCs w:val="false"/>
          <w:sz w:val="22"/>
          <w:szCs w:val="22"/>
        </w:rPr>
        <w:t xml:space="preserve">Construire le backlog Excel (stories, epics, story points, sprints) selon le standard OVERNETFLOW.</w:t>
      </w:r>
    </w:p>
    <w:p>
      <w:pPr>
        <w:pStyle w:val="ListParagraph"/>
        <w:numPr>
          <w:ilvl w:val="0"/>
          <w:numId w:val="2"/>
        </w:numPr>
        <w:spacing w:after="100" w:line="264"/>
      </w:pPr>
      <w:r>
        <w:rPr>
          <w:rFonts w:ascii="Calibri" w:cs="Calibri" w:eastAsia="Calibri" w:hAnsi="Calibri"/>
          <w:b w:val="false"/>
          <w:bCs w:val="false"/>
          <w:sz w:val="22"/>
          <w:szCs w:val="22"/>
        </w:rPr>
        <w:t xml:space="preserve">Prototype HTML des trois écrans critiques : recherche/consultation, formulaire d'enregistrement express, page de statut.</w:t>
      </w:r>
    </w:p>
    <w:p>
      <w:pPr>
        <w:pStyle w:val="ListParagraph"/>
        <w:numPr>
          <w:ilvl w:val="0"/>
          <w:numId w:val="2"/>
        </w:numPr>
        <w:spacing w:after="100" w:line="264"/>
      </w:pPr>
      <w:r>
        <w:rPr>
          <w:rFonts w:ascii="Calibri" w:cs="Calibri" w:eastAsia="Calibri" w:hAnsi="Calibri"/>
          <w:b w:val="false"/>
          <w:bCs w:val="false"/>
          <w:sz w:val="22"/>
          <w:szCs w:val="22"/>
        </w:rPr>
        <w:t xml:space="preserve">Cadrage juridique : consultation d'un avocat sur les CGU et le régime de responsabilité, pré-échange ARTCI.</w:t>
      </w:r>
    </w:p>
    <w:p>
      <w:pPr>
        <w:pStyle w:val="ListParagraph"/>
        <w:numPr>
          <w:ilvl w:val="0"/>
          <w:numId w:val="2"/>
        </w:numPr>
        <w:spacing w:after="100" w:line="264"/>
      </w:pPr>
      <w:r>
        <w:rPr>
          <w:rFonts w:ascii="Calibri" w:cs="Calibri" w:eastAsia="Calibri" w:hAnsi="Calibri"/>
          <w:b w:val="false"/>
          <w:bCs w:val="false"/>
          <w:sz w:val="22"/>
          <w:szCs w:val="22"/>
        </w:rPr>
        <w:t xml:space="preserve">Démarchage de 5 loueurs pilotes à Abidjan pour co-concevoir l'offre flotte avant développement.</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Confidentiel —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PREUVE — Project Brief BMAD · OVERNETFLOW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2026-07-31T21:42:41.756Z</dcterms:created>
  <dcterms:modified xsi:type="dcterms:W3CDTF">2026-07-31T21:42:41.768Z</dcterms:modified>
</cp:coreProperties>
</file>

<file path=docProps/custom.xml><?xml version="1.0" encoding="utf-8"?>
<Properties xmlns="http://schemas.openxmlformats.org/officeDocument/2006/custom-properties" xmlns:vt="http://schemas.openxmlformats.org/officeDocument/2006/docPropsVTypes"/>
</file>