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7D32"/>
          <w:sz w:val="34"/>
        </w:rPr>
        <w:t>Stratégie d’accessibilité</w:t>
        <w:br/>
        <w:t>Checklist A3 – BREEAM Hea 06</w:t>
      </w:r>
    </w:p>
    <w:p>
      <w:pPr>
        <w:jc w:val="center"/>
      </w:pPr>
      <w:r>
        <w:rPr>
          <w:rFonts w:ascii="Arial" w:hAnsi="Arial"/>
          <w:sz w:val="21"/>
        </w:rPr>
        <w:t>Projet VEELLAGE Fenouillet Tranche 2</w:t>
        <w:br/>
        <w:t>Périmètre : shell only</w:t>
        <w:br/>
        <w:t>Version mise à jour en français</w:t>
      </w:r>
    </w:p>
    <w:p>
      <w:r>
        <w:rPr>
          <w:rFonts w:ascii="Arial" w:hAnsi="Arial"/>
          <w:sz w:val="18"/>
        </w:rPr>
        <w:t>Document de mise à jour fondé sur le manuel BREEAM V6, la Notice descriptive Ind.04, l’Annexe 02 – Notice accessibilité, le plan de transport et la fiche technique du ferme-portail RHINO.</w:t>
      </w:r>
    </w:p>
    <w:p>
      <w:r>
        <w:br w:type="page"/>
      </w:r>
    </w:p>
    <w:p>
      <w:pPr>
        <w:spacing w:after="60"/>
      </w:pPr>
      <w:r>
        <w:rPr>
          <w:rFonts w:ascii="Arial" w:hAnsi="Arial"/>
          <w:b/>
          <w:color w:val="2E7D32"/>
          <w:sz w:val="22"/>
        </w:rPr>
        <w:t>1. Principes généraux</w:t>
      </w:r>
    </w:p>
    <w:tbl>
      <w:tblPr>
        <w:tblStyle w:val="TableGrid"/>
        <w:tblW w:type="auto" w:w="0"/>
        <w:jc w:val="center"/>
        <w:tblLayout w:type="fixed"/>
        <w:tblLook w:firstColumn="1" w:firstRow="1" w:lastColumn="0" w:lastRow="0" w:noHBand="0" w:noVBand="1" w:val="04A0"/>
      </w:tblPr>
      <w:tblGrid>
        <w:gridCol w:w="2663"/>
        <w:gridCol w:w="2663"/>
        <w:gridCol w:w="2663"/>
        <w:gridCol w:w="2663"/>
      </w:tblGrid>
      <w:tr>
        <w:tc>
          <w:tcPr>
            <w:tcW w:type="dxa" w:w="680"/>
            <w:vAlign w:val="center"/>
            <w:shd w:fill="D9EAD3"/>
          </w:tcPr>
          <w:p>
            <w:pPr>
              <w:spacing w:after="20" w:before="0"/>
            </w:pPr>
            <w:r/>
            <w:r>
              <w:rPr>
                <w:rFonts w:ascii="Arial" w:hAnsi="Arial"/>
                <w:b/>
                <w:sz w:val="17"/>
              </w:rPr>
              <w:t>Réf</w:t>
            </w:r>
          </w:p>
        </w:tc>
        <w:tc>
          <w:tcPr>
            <w:tcW w:type="dxa" w:w="4422"/>
            <w:vAlign w:val="center"/>
            <w:shd w:fill="D9EAD3"/>
          </w:tcPr>
          <w:p>
            <w:pPr>
              <w:spacing w:after="20" w:before="0"/>
            </w:pPr>
            <w:r/>
            <w:r>
              <w:rPr>
                <w:rFonts w:ascii="Arial" w:hAnsi="Arial"/>
                <w:b/>
                <w:sz w:val="17"/>
              </w:rPr>
              <w:t>Critère</w:t>
            </w:r>
          </w:p>
        </w:tc>
        <w:tc>
          <w:tcPr>
            <w:tcW w:type="dxa" w:w="5896"/>
            <w:vAlign w:val="center"/>
            <w:shd w:fill="D9EAD3"/>
          </w:tcPr>
          <w:p>
            <w:pPr>
              <w:spacing w:after="20" w:before="0"/>
            </w:pPr>
            <w:r/>
            <w:r>
              <w:rPr>
                <w:rFonts w:ascii="Arial" w:hAnsi="Arial"/>
                <w:b/>
                <w:sz w:val="17"/>
              </w:rPr>
              <w:t>Réponse projet et références</w:t>
            </w:r>
          </w:p>
        </w:tc>
        <w:tc>
          <w:tcPr>
            <w:tcW w:type="dxa" w:w="1020"/>
            <w:vAlign w:val="center"/>
            <w:shd w:fill="D9EAD3"/>
          </w:tcPr>
          <w:p>
            <w:pPr>
              <w:spacing w:after="20" w:before="0"/>
            </w:pPr>
            <w:r/>
            <w:r>
              <w:rPr>
                <w:rFonts w:ascii="Arial" w:hAnsi="Arial"/>
                <w:b/>
                <w:sz w:val="17"/>
              </w:rPr>
              <w:t>Statut</w:t>
            </w:r>
          </w:p>
        </w:tc>
      </w:tr>
      <w:tr>
        <w:tc>
          <w:tcPr>
            <w:tcW w:type="dxa" w:w="680"/>
            <w:vAlign w:val="center"/>
          </w:tcPr>
          <w:p>
            <w:pPr>
              <w:spacing w:after="20" w:before="0"/>
            </w:pPr>
            <w:r/>
            <w:r>
              <w:rPr>
                <w:rFonts w:ascii="Arial" w:hAnsi="Arial"/>
                <w:b/>
                <w:sz w:val="16"/>
              </w:rPr>
              <w:t>A</w:t>
            </w:r>
          </w:p>
        </w:tc>
        <w:tc>
          <w:tcPr>
            <w:tcW w:type="dxa" w:w="4422"/>
            <w:vAlign w:val="center"/>
          </w:tcPr>
          <w:p>
            <w:pPr>
              <w:spacing w:after="20" w:before="0"/>
            </w:pPr>
            <w:r/>
            <w:r>
              <w:rPr>
                <w:rFonts w:ascii="Arial" w:hAnsi="Arial"/>
                <w:b w:val="0"/>
                <w:sz w:val="16"/>
              </w:rPr>
              <w:t>La stratégie présente l’approche retenue en matière d’accessibilité, en intégrant les personnes en situation de handicap, les personnes d’âges, de genres, d’origines et de niveaux d’endurance variés, ainsi que les parents avec enfants. Elle doit aussi préciser la prise en compte des exigences applicables et montrer comment cette approche oriente les choix de conception tout au long du projet.</w:t>
            </w:r>
          </w:p>
        </w:tc>
        <w:tc>
          <w:tcPr>
            <w:tcW w:type="dxa" w:w="5896"/>
            <w:vAlign w:val="center"/>
          </w:tcPr>
          <w:p>
            <w:pPr>
              <w:spacing w:after="20" w:before="0"/>
            </w:pPr>
            <w:r/>
            <w:r>
              <w:rPr>
                <w:rFonts w:ascii="Arial" w:hAnsi="Arial"/>
                <w:b w:val="0"/>
                <w:sz w:val="16"/>
              </w:rPr>
              <w:t>Le projet relève du crédit Hea 06 « Inclusive and accessible design » pour un bâtiment non résidentiel. La stratégie s’appuie sur l’arrêté du 20/04/2017 relatif à l’accessibilité, sur l’Annexe 02 – Notice accessibilité et sur la Notice descriptive Ind.04. La Notice descriptive confirme que l’accessibilité PMR est prévue au RDC uniquement, cohérent avec le périmètre shell only livré à ce stade.</w:t>
            </w:r>
          </w:p>
          <w:p>
            <w:pPr>
              <w:spacing w:after="20" w:before="0"/>
            </w:pPr>
            <w:r>
              <w:rPr>
                <w:rFonts w:ascii="Arial" w:hAnsi="Arial"/>
                <w:b w:val="0"/>
                <w:sz w:val="16"/>
              </w:rPr>
            </w:r>
          </w:p>
          <w:p>
            <w:pPr>
              <w:spacing w:after="20" w:before="0"/>
            </w:pPr>
            <w:r>
              <w:rPr>
                <w:rFonts w:ascii="Arial" w:hAnsi="Arial"/>
                <w:b w:val="0"/>
                <w:sz w:val="16"/>
              </w:rPr>
              <w:t>Références : Manuel BREEAM V6, Hea 06, critères 12 à 14, pp. 133-134 ; Notice descriptive Ind.04, §3, p. 5 ; Annexe 02 – Notice accessibilité.</w:t>
            </w:r>
          </w:p>
        </w:tc>
        <w:tc>
          <w:tcPr>
            <w:tcW w:type="dxa" w:w="1020"/>
            <w:vAlign w:val="center"/>
            <w:shd w:fill="E2F0D9"/>
          </w:tcPr>
          <w:p>
            <w:pPr>
              <w:spacing w:after="20" w:before="0"/>
            </w:pPr>
            <w:r/>
            <w:r>
              <w:rPr>
                <w:rFonts w:ascii="Arial" w:hAnsi="Arial"/>
                <w:b/>
                <w:sz w:val="17"/>
              </w:rPr>
              <w:t>Oui</w:t>
            </w:r>
          </w:p>
        </w:tc>
      </w:tr>
    </w:tbl>
    <w:p/>
    <w:p>
      <w:pPr>
        <w:spacing w:after="60"/>
      </w:pPr>
      <w:r>
        <w:rPr>
          <w:rFonts w:ascii="Arial" w:hAnsi="Arial"/>
          <w:b/>
          <w:color w:val="2E7D32"/>
          <w:sz w:val="22"/>
        </w:rPr>
        <w:t>2. Consultation</w:t>
      </w:r>
    </w:p>
    <w:tbl>
      <w:tblPr>
        <w:tblStyle w:val="TableGrid"/>
        <w:tblW w:type="auto" w:w="0"/>
        <w:jc w:val="center"/>
        <w:tblLayout w:type="fixed"/>
        <w:tblLook w:firstColumn="1" w:firstRow="1" w:lastColumn="0" w:lastRow="0" w:noHBand="0" w:noVBand="1" w:val="04A0"/>
      </w:tblPr>
      <w:tblGrid>
        <w:gridCol w:w="2663"/>
        <w:gridCol w:w="2663"/>
        <w:gridCol w:w="2663"/>
        <w:gridCol w:w="2663"/>
      </w:tblGrid>
      <w:tr>
        <w:tc>
          <w:tcPr>
            <w:tcW w:type="dxa" w:w="680"/>
            <w:vAlign w:val="center"/>
            <w:shd w:fill="D9EAD3"/>
          </w:tcPr>
          <w:p>
            <w:pPr>
              <w:spacing w:after="20" w:before="0"/>
            </w:pPr>
            <w:r/>
            <w:r>
              <w:rPr>
                <w:rFonts w:ascii="Arial" w:hAnsi="Arial"/>
                <w:b/>
                <w:sz w:val="17"/>
              </w:rPr>
              <w:t>Réf</w:t>
            </w:r>
          </w:p>
        </w:tc>
        <w:tc>
          <w:tcPr>
            <w:tcW w:type="dxa" w:w="4422"/>
            <w:vAlign w:val="center"/>
            <w:shd w:fill="D9EAD3"/>
          </w:tcPr>
          <w:p>
            <w:pPr>
              <w:spacing w:after="20" w:before="0"/>
            </w:pPr>
            <w:r/>
            <w:r>
              <w:rPr>
                <w:rFonts w:ascii="Arial" w:hAnsi="Arial"/>
                <w:b/>
                <w:sz w:val="17"/>
              </w:rPr>
              <w:t>Critère</w:t>
            </w:r>
          </w:p>
        </w:tc>
        <w:tc>
          <w:tcPr>
            <w:tcW w:type="dxa" w:w="5896"/>
            <w:vAlign w:val="center"/>
            <w:shd w:fill="D9EAD3"/>
          </w:tcPr>
          <w:p>
            <w:pPr>
              <w:spacing w:after="20" w:before="0"/>
            </w:pPr>
            <w:r/>
            <w:r>
              <w:rPr>
                <w:rFonts w:ascii="Arial" w:hAnsi="Arial"/>
                <w:b/>
                <w:sz w:val="17"/>
              </w:rPr>
              <w:t>Réponse projet et références</w:t>
            </w:r>
          </w:p>
        </w:tc>
        <w:tc>
          <w:tcPr>
            <w:tcW w:type="dxa" w:w="1020"/>
            <w:vAlign w:val="center"/>
            <w:shd w:fill="D9EAD3"/>
          </w:tcPr>
          <w:p>
            <w:pPr>
              <w:spacing w:after="20" w:before="0"/>
            </w:pPr>
            <w:r/>
            <w:r>
              <w:rPr>
                <w:rFonts w:ascii="Arial" w:hAnsi="Arial"/>
                <w:b/>
                <w:sz w:val="17"/>
              </w:rPr>
              <w:t>Statut</w:t>
            </w:r>
          </w:p>
        </w:tc>
      </w:tr>
      <w:tr>
        <w:tc>
          <w:tcPr>
            <w:tcW w:type="dxa" w:w="680"/>
            <w:vAlign w:val="center"/>
          </w:tcPr>
          <w:p>
            <w:pPr>
              <w:spacing w:after="20" w:before="0"/>
            </w:pPr>
            <w:r/>
            <w:r>
              <w:rPr>
                <w:rFonts w:ascii="Arial" w:hAnsi="Arial"/>
                <w:b/>
                <w:sz w:val="16"/>
              </w:rPr>
              <w:t>a</w:t>
            </w:r>
          </w:p>
        </w:tc>
        <w:tc>
          <w:tcPr>
            <w:tcW w:type="dxa" w:w="4422"/>
            <w:vAlign w:val="center"/>
          </w:tcPr>
          <w:p>
            <w:pPr>
              <w:spacing w:after="20" w:before="0"/>
            </w:pPr>
            <w:r/>
            <w:r>
              <w:rPr>
                <w:rFonts w:ascii="Arial" w:hAnsi="Arial"/>
                <w:b w:val="0"/>
                <w:sz w:val="16"/>
              </w:rPr>
              <w:t>La stratégie doit présenter les résultats des consultations réalisées ou à réaliser sur les enjeux d’accessibilité avec les parties prenantes pertinentes et les spécialistes techniques concernés.</w:t>
            </w:r>
          </w:p>
        </w:tc>
        <w:tc>
          <w:tcPr>
            <w:tcW w:type="dxa" w:w="5896"/>
            <w:vAlign w:val="center"/>
          </w:tcPr>
          <w:p>
            <w:pPr>
              <w:spacing w:after="20" w:before="0"/>
            </w:pPr>
            <w:r/>
            <w:r>
              <w:rPr>
                <w:rFonts w:ascii="Arial" w:hAnsi="Arial"/>
                <w:b w:val="0"/>
                <w:sz w:val="16"/>
              </w:rPr>
              <w:t>La stratégie d’accessibilité a été soumise au client et aux futurs utilisateurs, ainsi qu’à ESSOR Ingénierie dans le cadre du suivi environnemental et de la conformité BREEAM. La Notice descriptive mentionne également un accompagnement dédié à la certification.</w:t>
            </w:r>
          </w:p>
          <w:p>
            <w:pPr>
              <w:spacing w:after="20" w:before="0"/>
            </w:pPr>
            <w:r>
              <w:rPr>
                <w:rFonts w:ascii="Arial" w:hAnsi="Arial"/>
                <w:b w:val="0"/>
                <w:sz w:val="16"/>
              </w:rPr>
            </w:r>
          </w:p>
          <w:p>
            <w:pPr>
              <w:spacing w:after="20" w:before="0"/>
            </w:pPr>
            <w:r>
              <w:rPr>
                <w:rFonts w:ascii="Arial" w:hAnsi="Arial"/>
                <w:b w:val="0"/>
                <w:sz w:val="16"/>
              </w:rPr>
              <w:t>Références : Stratégie d’accessibilité / Checklist A3 ; Notice descriptive Ind.04, §3 « Certification », p. 5.</w:t>
            </w:r>
          </w:p>
        </w:tc>
        <w:tc>
          <w:tcPr>
            <w:tcW w:type="dxa" w:w="1020"/>
            <w:vAlign w:val="center"/>
            <w:shd w:fill="E2F0D9"/>
          </w:tcPr>
          <w:p>
            <w:pPr>
              <w:spacing w:after="20" w:before="0"/>
            </w:pPr>
            <w:r/>
            <w:r>
              <w:rPr>
                <w:rFonts w:ascii="Arial" w:hAnsi="Arial"/>
                <w:b/>
                <w:sz w:val="17"/>
              </w:rPr>
              <w:t>Oui</w:t>
            </w:r>
          </w:p>
        </w:tc>
      </w:tr>
    </w:tbl>
    <w:p/>
    <w:p>
      <w:pPr>
        <w:spacing w:after="60"/>
      </w:pPr>
      <w:r>
        <w:rPr>
          <w:rFonts w:ascii="Arial" w:hAnsi="Arial"/>
          <w:b/>
          <w:color w:val="2E7D32"/>
          <w:sz w:val="22"/>
        </w:rPr>
        <w:t>3. Modalités de mise en accessibilité</w:t>
      </w:r>
    </w:p>
    <w:tbl>
      <w:tblPr>
        <w:tblStyle w:val="TableGrid"/>
        <w:tblW w:type="auto" w:w="0"/>
        <w:jc w:val="center"/>
        <w:tblLayout w:type="fixed"/>
        <w:tblLook w:firstColumn="1" w:firstRow="1" w:lastColumn="0" w:lastRow="0" w:noHBand="0" w:noVBand="1" w:val="04A0"/>
      </w:tblPr>
      <w:tblGrid>
        <w:gridCol w:w="2663"/>
        <w:gridCol w:w="2663"/>
        <w:gridCol w:w="2663"/>
        <w:gridCol w:w="2663"/>
      </w:tblGrid>
      <w:tr>
        <w:tc>
          <w:tcPr>
            <w:tcW w:type="dxa" w:w="680"/>
            <w:vAlign w:val="center"/>
            <w:shd w:fill="D9EAD3"/>
          </w:tcPr>
          <w:p>
            <w:pPr>
              <w:spacing w:after="20" w:before="0"/>
            </w:pPr>
            <w:r/>
            <w:r>
              <w:rPr>
                <w:rFonts w:ascii="Arial" w:hAnsi="Arial"/>
                <w:b/>
                <w:sz w:val="17"/>
              </w:rPr>
              <w:t>Réf</w:t>
            </w:r>
          </w:p>
        </w:tc>
        <w:tc>
          <w:tcPr>
            <w:tcW w:type="dxa" w:w="4422"/>
            <w:vAlign w:val="center"/>
            <w:shd w:fill="D9EAD3"/>
          </w:tcPr>
          <w:p>
            <w:pPr>
              <w:spacing w:after="20" w:before="0"/>
            </w:pPr>
            <w:r/>
            <w:r>
              <w:rPr>
                <w:rFonts w:ascii="Arial" w:hAnsi="Arial"/>
                <w:b/>
                <w:sz w:val="17"/>
              </w:rPr>
              <w:t>Critère</w:t>
            </w:r>
          </w:p>
        </w:tc>
        <w:tc>
          <w:tcPr>
            <w:tcW w:type="dxa" w:w="5896"/>
            <w:vAlign w:val="center"/>
            <w:shd w:fill="D9EAD3"/>
          </w:tcPr>
          <w:p>
            <w:pPr>
              <w:spacing w:after="20" w:before="0"/>
            </w:pPr>
            <w:r/>
            <w:r>
              <w:rPr>
                <w:rFonts w:ascii="Arial" w:hAnsi="Arial"/>
                <w:b/>
                <w:sz w:val="17"/>
              </w:rPr>
              <w:t>Réponse projet et références</w:t>
            </w:r>
          </w:p>
        </w:tc>
        <w:tc>
          <w:tcPr>
            <w:tcW w:type="dxa" w:w="1020"/>
            <w:vAlign w:val="center"/>
            <w:shd w:fill="D9EAD3"/>
          </w:tcPr>
          <w:p>
            <w:pPr>
              <w:spacing w:after="20" w:before="0"/>
            </w:pPr>
            <w:r/>
            <w:r>
              <w:rPr>
                <w:rFonts w:ascii="Arial" w:hAnsi="Arial"/>
                <w:b/>
                <w:sz w:val="17"/>
              </w:rPr>
              <w:t>Statut</w:t>
            </w:r>
          </w:p>
        </w:tc>
      </w:tr>
      <w:tr>
        <w:tc>
          <w:tcPr>
            <w:tcW w:type="dxa" w:w="680"/>
            <w:vAlign w:val="center"/>
          </w:tcPr>
          <w:p>
            <w:pPr>
              <w:spacing w:after="20" w:before="0"/>
            </w:pPr>
            <w:r/>
            <w:r>
              <w:rPr>
                <w:rFonts w:ascii="Arial" w:hAnsi="Arial"/>
                <w:b/>
                <w:sz w:val="16"/>
              </w:rPr>
              <w:t>a</w:t>
            </w:r>
          </w:p>
        </w:tc>
        <w:tc>
          <w:tcPr>
            <w:tcW w:type="dxa" w:w="4422"/>
            <w:vAlign w:val="center"/>
          </w:tcPr>
          <w:p>
            <w:pPr>
              <w:spacing w:after="20" w:before="0"/>
            </w:pPr>
            <w:r/>
            <w:r>
              <w:rPr>
                <w:rFonts w:ascii="Arial" w:hAnsi="Arial"/>
                <w:b w:val="0"/>
                <w:sz w:val="16"/>
              </w:rPr>
              <w:t>La stratégie explique comment l’implantation offre un accès pratique, comment les voiries et cheminements se raccordent, et comment l’éclairage, les vues et la signalétique améliorent l’accès.</w:t>
            </w:r>
          </w:p>
        </w:tc>
        <w:tc>
          <w:tcPr>
            <w:tcW w:type="dxa" w:w="5896"/>
            <w:vAlign w:val="center"/>
          </w:tcPr>
          <w:p>
            <w:pPr>
              <w:spacing w:after="20" w:before="0"/>
            </w:pPr>
            <w:r/>
            <w:r>
              <w:rPr>
                <w:rFonts w:ascii="Arial" w:hAnsi="Arial"/>
                <w:b w:val="0"/>
                <w:sz w:val="16"/>
              </w:rPr>
              <w:t>L’accès est traité par une signalétique adaptée à l’entrée du site, à proximité des stationnements et aux points de choix d’itinéraire ; les cheminements extérieurs sont conçus avec des pentes inférieures à 5 % lorsqu’un dénivelé est inévitable ; le nom ou le numéro du bâtiment est placé dans le champ visuel à proximité immédiate de la porte ; l’éclairage des cheminements extérieurs et des stationnements piétons est prévu à 20 lux.</w:t>
            </w:r>
          </w:p>
          <w:p>
            <w:pPr>
              <w:spacing w:after="20" w:before="0"/>
            </w:pPr>
            <w:r>
              <w:rPr>
                <w:rFonts w:ascii="Arial" w:hAnsi="Arial"/>
                <w:b w:val="0"/>
                <w:sz w:val="16"/>
              </w:rPr>
            </w:r>
          </w:p>
          <w:p>
            <w:pPr>
              <w:spacing w:after="20" w:before="0"/>
            </w:pPr>
            <w:r>
              <w:rPr>
                <w:rFonts w:ascii="Arial" w:hAnsi="Arial"/>
                <w:b w:val="0"/>
                <w:sz w:val="16"/>
              </w:rPr>
              <w:t>Références : Annexe 02 – Notice accessibilité, pp. 2, 6 et 14.</w:t>
            </w:r>
          </w:p>
        </w:tc>
        <w:tc>
          <w:tcPr>
            <w:tcW w:type="dxa" w:w="1020"/>
            <w:vAlign w:val="center"/>
            <w:shd w:fill="E2F0D9"/>
          </w:tcPr>
          <w:p>
            <w:pPr>
              <w:spacing w:after="20" w:before="0"/>
            </w:pPr>
            <w:r/>
            <w:r>
              <w:rPr>
                <w:rFonts w:ascii="Arial" w:hAnsi="Arial"/>
                <w:b/>
                <w:sz w:val="17"/>
              </w:rPr>
              <w:t>Oui</w:t>
            </w:r>
          </w:p>
        </w:tc>
      </w:tr>
      <w:tr>
        <w:tc>
          <w:tcPr>
            <w:tcW w:type="dxa" w:w="680"/>
            <w:vAlign w:val="center"/>
          </w:tcPr>
          <w:p>
            <w:pPr>
              <w:spacing w:after="20" w:before="0"/>
            </w:pPr>
            <w:r/>
            <w:r>
              <w:rPr>
                <w:rFonts w:ascii="Arial" w:hAnsi="Arial"/>
                <w:b/>
                <w:sz w:val="16"/>
              </w:rPr>
              <w:t>b</w:t>
            </w:r>
          </w:p>
        </w:tc>
        <w:tc>
          <w:tcPr>
            <w:tcW w:type="dxa" w:w="4422"/>
            <w:vAlign w:val="center"/>
          </w:tcPr>
          <w:p>
            <w:pPr>
              <w:spacing w:after="20" w:before="0"/>
            </w:pPr>
            <w:r/>
            <w:r>
              <w:rPr>
                <w:rFonts w:ascii="Arial" w:hAnsi="Arial"/>
                <w:b w:val="0"/>
                <w:sz w:val="16"/>
              </w:rPr>
              <w:t>Des schémas doivent montrer comment les personnes se déplacent vers et dans le site, ainsi que les priorités d’accès entre piétons, cyclistes et véhicules motorisés.</w:t>
            </w:r>
          </w:p>
        </w:tc>
        <w:tc>
          <w:tcPr>
            <w:tcW w:type="dxa" w:w="5896"/>
            <w:vAlign w:val="center"/>
          </w:tcPr>
          <w:p>
            <w:pPr>
              <w:spacing w:after="20" w:before="0"/>
            </w:pPr>
            <w:r/>
            <w:r>
              <w:rPr>
                <w:rFonts w:ascii="Arial" w:hAnsi="Arial"/>
                <w:b w:val="0"/>
                <w:sz w:val="16"/>
              </w:rPr>
              <w:t>Le plan de transport décrit les circulations douces, les accès PMR et l’organisation générale des flux. Néanmoins, un schéma graphique synthétique des flux piétons, vélos, véhicules et secours reste à intégrer pour documenter pleinement ce point.</w:t>
            </w:r>
          </w:p>
          <w:p>
            <w:pPr>
              <w:spacing w:after="20" w:before="0"/>
            </w:pPr>
            <w:r>
              <w:rPr>
                <w:rFonts w:ascii="Arial" w:hAnsi="Arial"/>
                <w:b w:val="0"/>
                <w:sz w:val="16"/>
              </w:rPr>
            </w:r>
          </w:p>
          <w:p>
            <w:pPr>
              <w:spacing w:after="20" w:before="0"/>
            </w:pPr>
            <w:r>
              <w:rPr>
                <w:rFonts w:ascii="Arial" w:hAnsi="Arial"/>
                <w:b w:val="0"/>
                <w:sz w:val="16"/>
              </w:rPr>
              <w:t>Références : Plan de transport, pp. 10 à 12.</w:t>
            </w:r>
          </w:p>
        </w:tc>
        <w:tc>
          <w:tcPr>
            <w:tcW w:type="dxa" w:w="1020"/>
            <w:vAlign w:val="center"/>
            <w:shd w:fill="FFF2CC"/>
          </w:tcPr>
          <w:p>
            <w:pPr>
              <w:spacing w:after="20" w:before="0"/>
            </w:pPr>
            <w:r/>
            <w:r>
              <w:rPr>
                <w:rFonts w:ascii="Arial" w:hAnsi="Arial"/>
                <w:b/>
                <w:sz w:val="17"/>
              </w:rPr>
              <w:t>À compléter</w:t>
            </w:r>
          </w:p>
        </w:tc>
      </w:tr>
      <w:tr>
        <w:tc>
          <w:tcPr>
            <w:tcW w:type="dxa" w:w="680"/>
            <w:vAlign w:val="center"/>
          </w:tcPr>
          <w:p>
            <w:pPr>
              <w:spacing w:after="20" w:before="0"/>
            </w:pPr>
            <w:r/>
            <w:r>
              <w:rPr>
                <w:rFonts w:ascii="Arial" w:hAnsi="Arial"/>
                <w:b/>
                <w:sz w:val="16"/>
              </w:rPr>
              <w:t>c</w:t>
            </w:r>
          </w:p>
        </w:tc>
        <w:tc>
          <w:tcPr>
            <w:tcW w:type="dxa" w:w="4422"/>
            <w:vAlign w:val="center"/>
          </w:tcPr>
          <w:p>
            <w:pPr>
              <w:spacing w:after="20" w:before="0"/>
            </w:pPr>
            <w:r/>
            <w:r>
              <w:rPr>
                <w:rFonts w:ascii="Arial" w:hAnsi="Arial"/>
                <w:b w:val="0"/>
                <w:sz w:val="16"/>
              </w:rPr>
              <w:t>La stratégie explique comment l’accès intérieur sera conçu, réalisé et utilisé. Pour un projet spéculatif, elle doit aussi expliciter les options d’aménagement et la flexibilité du design.</w:t>
            </w:r>
          </w:p>
        </w:tc>
        <w:tc>
          <w:tcPr>
            <w:tcW w:type="dxa" w:w="5896"/>
            <w:vAlign w:val="center"/>
          </w:tcPr>
          <w:p>
            <w:pPr>
              <w:spacing w:after="20" w:before="0"/>
            </w:pPr>
            <w:r/>
            <w:r>
              <w:rPr>
                <w:rFonts w:ascii="Arial" w:hAnsi="Arial"/>
                <w:b w:val="0"/>
                <w:sz w:val="16"/>
              </w:rPr>
              <w:t>Le projet est évalué selon un périmètre shell only et comprend 39 lots divisibles avec mezzanines en façade. L’accessibilité PMR est prévue au RDC uniquement ; les aménagements intérieurs détaillés des preneurs ne sont pas arrêtés à ce stade. La trame divisible du projet constitue une base favorable, mais la démonstration de flexibilité d’usage en phase preneur n’est pas encore explicitée.</w:t>
            </w:r>
          </w:p>
          <w:p>
            <w:pPr>
              <w:spacing w:after="20" w:before="0"/>
            </w:pPr>
            <w:r>
              <w:rPr>
                <w:rFonts w:ascii="Arial" w:hAnsi="Arial"/>
                <w:b w:val="0"/>
                <w:sz w:val="16"/>
              </w:rPr>
            </w:r>
          </w:p>
          <w:p>
            <w:pPr>
              <w:spacing w:after="20" w:before="0"/>
            </w:pPr>
            <w:r>
              <w:rPr>
                <w:rFonts w:ascii="Arial" w:hAnsi="Arial"/>
                <w:b w:val="0"/>
                <w:sz w:val="16"/>
              </w:rPr>
              <w:t>Références : Notice descriptive Ind.04, §2, p. 4 ; §3 « Règles d’accessibilité PMR », p. 5 ; note Wst 06 d’adaptabilité fonctionnelle.</w:t>
            </w:r>
          </w:p>
        </w:tc>
        <w:tc>
          <w:tcPr>
            <w:tcW w:type="dxa" w:w="1020"/>
            <w:vAlign w:val="center"/>
            <w:shd w:fill="FFF2CC"/>
          </w:tcPr>
          <w:p>
            <w:pPr>
              <w:spacing w:after="20" w:before="0"/>
            </w:pPr>
            <w:r/>
            <w:r>
              <w:rPr>
                <w:rFonts w:ascii="Arial" w:hAnsi="Arial"/>
                <w:b/>
                <w:sz w:val="17"/>
              </w:rPr>
              <w:t>À compléter</w:t>
            </w:r>
          </w:p>
        </w:tc>
      </w:tr>
      <w:tr>
        <w:tc>
          <w:tcPr>
            <w:tcW w:type="dxa" w:w="680"/>
            <w:vAlign w:val="center"/>
          </w:tcPr>
          <w:p>
            <w:pPr>
              <w:spacing w:after="20" w:before="0"/>
            </w:pPr>
            <w:r/>
            <w:r>
              <w:rPr>
                <w:rFonts w:ascii="Arial" w:hAnsi="Arial"/>
                <w:b/>
                <w:sz w:val="16"/>
              </w:rPr>
              <w:t>d</w:t>
            </w:r>
          </w:p>
        </w:tc>
        <w:tc>
          <w:tcPr>
            <w:tcW w:type="dxa" w:w="4422"/>
            <w:vAlign w:val="center"/>
          </w:tcPr>
          <w:p>
            <w:pPr>
              <w:spacing w:after="20" w:before="0"/>
            </w:pPr>
            <w:r/>
            <w:r>
              <w:rPr>
                <w:rFonts w:ascii="Arial" w:hAnsi="Arial"/>
                <w:b w:val="0"/>
                <w:sz w:val="16"/>
              </w:rPr>
              <w:t>La stratégie explique comment la visibilité des entrées et des espaces/fonctions est traitée, comment les changements de niveau sont gérés et comment les symboles ou pictogrammes aident à l’orientation.</w:t>
            </w:r>
          </w:p>
        </w:tc>
        <w:tc>
          <w:tcPr>
            <w:tcW w:type="dxa" w:w="5896"/>
            <w:vAlign w:val="center"/>
          </w:tcPr>
          <w:p>
            <w:pPr>
              <w:spacing w:after="20" w:before="0"/>
            </w:pPr>
            <w:r/>
            <w:r>
              <w:rPr>
                <w:rFonts w:ascii="Arial" w:hAnsi="Arial"/>
                <w:b w:val="0"/>
                <w:sz w:val="16"/>
              </w:rPr>
              <w:t>Les accès principaux sont en continuité avec un cheminement extérieur accessible et les entrées principales sont facilement identifiables. Les informations strictement sonores nécessaires au fonctionnement normal sont doublées par une information visuelle. La signalétique est prévue à chaque point de choix d’itinéraire ; les cheminements sont horizontaux, sans ressaut et libres d’obstacles ; les portes, huisseries et dispositifs de commande sont contrastés visuellement. La fiche technique du ferme-portail RHINO indique une souplesse d’ouverture maximale de 20 Nm et une compatibilité ADA/PMR ; si ce dispositif est retenu pour les accès concernés, il renforcera la manœuvrabilité des portillons.</w:t>
            </w:r>
          </w:p>
          <w:p>
            <w:pPr>
              <w:spacing w:after="20" w:before="0"/>
            </w:pPr>
            <w:r>
              <w:rPr>
                <w:rFonts w:ascii="Arial" w:hAnsi="Arial"/>
                <w:b w:val="0"/>
                <w:sz w:val="16"/>
              </w:rPr>
            </w:r>
          </w:p>
          <w:p>
            <w:pPr>
              <w:spacing w:after="20" w:before="0"/>
            </w:pPr>
            <w:r>
              <w:rPr>
                <w:rFonts w:ascii="Arial" w:hAnsi="Arial"/>
                <w:b w:val="0"/>
                <w:sz w:val="16"/>
              </w:rPr>
              <w:t>Références : Annexe 02 – Notice accessibilité, pp. 5, 6, 7, 11, 13 et 14 ; fiche technique ferme-portail RHINO, p. 21.</w:t>
            </w:r>
          </w:p>
        </w:tc>
        <w:tc>
          <w:tcPr>
            <w:tcW w:type="dxa" w:w="1020"/>
            <w:vAlign w:val="center"/>
            <w:shd w:fill="E2F0D9"/>
          </w:tcPr>
          <w:p>
            <w:pPr>
              <w:spacing w:after="20" w:before="0"/>
            </w:pPr>
            <w:r/>
            <w:r>
              <w:rPr>
                <w:rFonts w:ascii="Arial" w:hAnsi="Arial"/>
                <w:b/>
                <w:sz w:val="17"/>
              </w:rPr>
              <w:t>Oui</w:t>
            </w:r>
          </w:p>
        </w:tc>
      </w:tr>
      <w:tr>
        <w:tc>
          <w:tcPr>
            <w:tcW w:type="dxa" w:w="680"/>
            <w:vAlign w:val="center"/>
          </w:tcPr>
          <w:p>
            <w:pPr>
              <w:spacing w:after="20" w:before="0"/>
            </w:pPr>
            <w:r/>
            <w:r>
              <w:rPr>
                <w:rFonts w:ascii="Arial" w:hAnsi="Arial"/>
                <w:b/>
                <w:sz w:val="16"/>
              </w:rPr>
              <w:t>f</w:t>
            </w:r>
          </w:p>
        </w:tc>
        <w:tc>
          <w:tcPr>
            <w:tcW w:type="dxa" w:w="4422"/>
            <w:vAlign w:val="center"/>
          </w:tcPr>
          <w:p>
            <w:pPr>
              <w:spacing w:after="20" w:before="0"/>
            </w:pPr>
            <w:r/>
            <w:r>
              <w:rPr>
                <w:rFonts w:ascii="Arial" w:hAnsi="Arial"/>
                <w:b w:val="0"/>
                <w:sz w:val="16"/>
              </w:rPr>
              <w:t>La stratégie présente les espaces publics et privés et explique comment le projet les rend sûrs.</w:t>
            </w:r>
          </w:p>
        </w:tc>
        <w:tc>
          <w:tcPr>
            <w:tcW w:type="dxa" w:w="5896"/>
            <w:vAlign w:val="center"/>
          </w:tcPr>
          <w:p>
            <w:pPr>
              <w:spacing w:after="20" w:before="0"/>
            </w:pPr>
            <w:r/>
            <w:r>
              <w:rPr>
                <w:rFonts w:ascii="Arial" w:hAnsi="Arial"/>
                <w:b w:val="0"/>
                <w:sz w:val="16"/>
              </w:rPr>
              <w:t>Les cheminements sont annoncés comme non glissants, non réfléchissants et libres d’obstacles ; la largeur et le diamètre des trous ou fentes sont inférieurs à 2 cm ; les saillies sont arrondies ou chanfreinées ; la hauteur libre de passage est supérieure à 2,20 m sous éléments suspendus ; les parois vitrées sont rendues visibles par des contrastes adaptés. Le projet prévoit en outre des accès contrôlés par clôtures, portails, barrières et portillons afin d’organiser clairement les espaces et les cheminements.</w:t>
            </w:r>
          </w:p>
          <w:p>
            <w:pPr>
              <w:spacing w:after="20" w:before="0"/>
            </w:pPr>
            <w:r>
              <w:rPr>
                <w:rFonts w:ascii="Arial" w:hAnsi="Arial"/>
                <w:b w:val="0"/>
                <w:sz w:val="16"/>
              </w:rPr>
            </w:r>
          </w:p>
          <w:p>
            <w:pPr>
              <w:spacing w:after="20" w:before="0"/>
            </w:pPr>
            <w:r>
              <w:rPr>
                <w:rFonts w:ascii="Arial" w:hAnsi="Arial"/>
                <w:b w:val="0"/>
                <w:sz w:val="16"/>
              </w:rPr>
              <w:t>Références : Annexe 02 – Notice accessibilité, pp. 7 à 11 ; Notice descriptive Ind.04, §4.1.5, pp. 10-11.</w:t>
            </w:r>
          </w:p>
        </w:tc>
        <w:tc>
          <w:tcPr>
            <w:tcW w:type="dxa" w:w="1020"/>
            <w:vAlign w:val="center"/>
            <w:shd w:fill="E2F0D9"/>
          </w:tcPr>
          <w:p>
            <w:pPr>
              <w:spacing w:after="20" w:before="0"/>
            </w:pPr>
            <w:r/>
            <w:r>
              <w:rPr>
                <w:rFonts w:ascii="Arial" w:hAnsi="Arial"/>
                <w:b/>
                <w:sz w:val="17"/>
              </w:rPr>
              <w:t>Oui</w:t>
            </w:r>
          </w:p>
        </w:tc>
      </w:tr>
      <w:tr>
        <w:tc>
          <w:tcPr>
            <w:tcW w:type="dxa" w:w="680"/>
            <w:vAlign w:val="center"/>
          </w:tcPr>
          <w:p>
            <w:pPr>
              <w:spacing w:after="20" w:before="0"/>
            </w:pPr>
            <w:r/>
            <w:r>
              <w:rPr>
                <w:rFonts w:ascii="Arial" w:hAnsi="Arial"/>
                <w:b/>
                <w:sz w:val="16"/>
              </w:rPr>
              <w:t>h</w:t>
            </w:r>
          </w:p>
        </w:tc>
        <w:tc>
          <w:tcPr>
            <w:tcW w:type="dxa" w:w="4422"/>
            <w:vAlign w:val="center"/>
          </w:tcPr>
          <w:p>
            <w:pPr>
              <w:spacing w:after="20" w:before="0"/>
            </w:pPr>
            <w:r/>
            <w:r>
              <w:rPr>
                <w:rFonts w:ascii="Arial" w:hAnsi="Arial"/>
                <w:b w:val="0"/>
                <w:sz w:val="16"/>
              </w:rPr>
              <w:t>La stratégie montre que les personnes handicapées ne sont pas ségréguées et peuvent utiliser les mêmes accès, circulations et locaux que les autres usagers, sans détour.</w:t>
            </w:r>
          </w:p>
        </w:tc>
        <w:tc>
          <w:tcPr>
            <w:tcW w:type="dxa" w:w="5896"/>
            <w:vAlign w:val="center"/>
          </w:tcPr>
          <w:p>
            <w:pPr>
              <w:spacing w:after="20" w:before="0"/>
            </w:pPr>
            <w:r/>
            <w:r>
              <w:rPr>
                <w:rFonts w:ascii="Arial" w:hAnsi="Arial"/>
                <w:b w:val="0"/>
                <w:sz w:val="16"/>
              </w:rPr>
              <w:t>Les banques d’accueil sont utilisables en position assise et debout ; les cheminements principaux sont repérables et contrastés ; la largeur libre est généralement supérieure à 1,40 m ; les poignées de porte sont préhensibles et manœuvrables ; les équipements accessibles sont implantés dans la bonne plage de hauteur ; un sanitaire adapté avec lavabo accessible est prévu par niveau accessible ; au moins 2 places sur 50 sont accessibles aux personnes à mobilité réduite. La notice du projet indique en outre 194 places VL dont 4 PMR.</w:t>
            </w:r>
          </w:p>
          <w:p>
            <w:pPr>
              <w:spacing w:after="20" w:before="0"/>
            </w:pPr>
            <w:r>
              <w:rPr>
                <w:rFonts w:ascii="Arial" w:hAnsi="Arial"/>
                <w:b w:val="0"/>
                <w:sz w:val="16"/>
              </w:rPr>
            </w:r>
          </w:p>
          <w:p>
            <w:pPr>
              <w:spacing w:after="20" w:before="0"/>
            </w:pPr>
            <w:r>
              <w:rPr>
                <w:rFonts w:ascii="Arial" w:hAnsi="Arial"/>
                <w:b w:val="0"/>
                <w:sz w:val="16"/>
              </w:rPr>
              <w:t>Références : Annexe 02 – Notice accessibilité, pp. 6 à 16 ; Notice descriptive Ind.04, §2, p. 4.</w:t>
            </w:r>
          </w:p>
        </w:tc>
        <w:tc>
          <w:tcPr>
            <w:tcW w:type="dxa" w:w="1020"/>
            <w:vAlign w:val="center"/>
            <w:shd w:fill="E2F0D9"/>
          </w:tcPr>
          <w:p>
            <w:pPr>
              <w:spacing w:after="20" w:before="0"/>
            </w:pPr>
            <w:r/>
            <w:r>
              <w:rPr>
                <w:rFonts w:ascii="Arial" w:hAnsi="Arial"/>
                <w:b/>
                <w:sz w:val="17"/>
              </w:rPr>
              <w:t>Oui</w:t>
            </w:r>
          </w:p>
        </w:tc>
      </w:tr>
      <w:tr>
        <w:tc>
          <w:tcPr>
            <w:tcW w:type="dxa" w:w="680"/>
            <w:vAlign w:val="center"/>
          </w:tcPr>
          <w:p>
            <w:pPr>
              <w:spacing w:after="20" w:before="0"/>
            </w:pPr>
            <w:r/>
            <w:r>
              <w:rPr>
                <w:rFonts w:ascii="Arial" w:hAnsi="Arial"/>
                <w:b/>
                <w:sz w:val="16"/>
              </w:rPr>
              <w:t>Secours</w:t>
            </w:r>
          </w:p>
        </w:tc>
        <w:tc>
          <w:tcPr>
            <w:tcW w:type="dxa" w:w="4422"/>
            <w:vAlign w:val="center"/>
          </w:tcPr>
          <w:p>
            <w:pPr>
              <w:spacing w:after="20" w:before="0"/>
            </w:pPr>
            <w:r/>
            <w:r>
              <w:rPr>
                <w:rFonts w:ascii="Arial" w:hAnsi="Arial"/>
                <w:b w:val="0"/>
                <w:sz w:val="16"/>
              </w:rPr>
              <w:t>La stratégie explique comment l’accès des services de secours est assuré, y compris les dispositions utiles aux personnes handicapées en situation d’évacuation.</w:t>
            </w:r>
          </w:p>
        </w:tc>
        <w:tc>
          <w:tcPr>
            <w:tcW w:type="dxa" w:w="5896"/>
            <w:vAlign w:val="center"/>
          </w:tcPr>
          <w:p>
            <w:pPr>
              <w:spacing w:after="20" w:before="0"/>
            </w:pPr>
            <w:r/>
            <w:r>
              <w:rPr>
                <w:rFonts w:ascii="Arial" w:hAnsi="Arial"/>
                <w:b w:val="0"/>
                <w:sz w:val="16"/>
              </w:rPr>
              <w:t>La signalétique des issues est prévue sans confusion avec l’identification des sorties de secours. Les portails de sécurité présentent une largeur de passage supérieure à 0,77 m et permettent aux personnes en difficulté de se signaler. La Notice descriptive rappelle la prise en compte des exigences DECI et SDIS et prévoit une bâche incendie de 360 m³ et deux poteaux incendie.</w:t>
            </w:r>
          </w:p>
          <w:p>
            <w:pPr>
              <w:spacing w:after="20" w:before="0"/>
            </w:pPr>
            <w:r>
              <w:rPr>
                <w:rFonts w:ascii="Arial" w:hAnsi="Arial"/>
                <w:b w:val="0"/>
                <w:sz w:val="16"/>
              </w:rPr>
            </w:r>
          </w:p>
          <w:p>
            <w:pPr>
              <w:spacing w:after="20" w:before="0"/>
            </w:pPr>
            <w:r>
              <w:rPr>
                <w:rFonts w:ascii="Arial" w:hAnsi="Arial"/>
                <w:b w:val="0"/>
                <w:sz w:val="16"/>
              </w:rPr>
              <w:t>Références : Annexe 02 – Notice accessibilité, pp. 11 et 13 ; Notice descriptive Ind.04, §3, p. 4 ; §4.1.2.3, pp. 7-8.</w:t>
            </w:r>
          </w:p>
        </w:tc>
        <w:tc>
          <w:tcPr>
            <w:tcW w:type="dxa" w:w="1020"/>
            <w:vAlign w:val="center"/>
            <w:shd w:fill="E2F0D9"/>
          </w:tcPr>
          <w:p>
            <w:pPr>
              <w:spacing w:after="20" w:before="0"/>
            </w:pPr>
            <w:r/>
            <w:r>
              <w:rPr>
                <w:rFonts w:ascii="Arial" w:hAnsi="Arial"/>
                <w:b/>
                <w:sz w:val="17"/>
              </w:rPr>
              <w:t>Oui</w:t>
            </w:r>
          </w:p>
        </w:tc>
      </w:tr>
    </w:tbl>
    <w:p/>
    <w:sectPr w:rsidR="00FC693F" w:rsidRPr="0006063C" w:rsidSect="00034616">
      <w:headerReference w:type="default" r:id="rId9"/>
      <w:footerReference w:type="default" r:id="rId10"/>
      <w:pgSz w:w="12240" w:h="15840"/>
      <w:pgMar w:top="850"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Stratégie d’accessibilité – Hea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PROUDREED – FENOUILLET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