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67357">
      <w:pPr>
        <w:numPr>
          <w:numId w:val="0"/>
        </w:numPr>
        <w:ind w:leftChars="0"/>
        <w:rPr>
          <w:rFonts w:hint="default"/>
        </w:rPr>
      </w:pPr>
      <w:bookmarkStart w:id="0" w:name="_GoBack"/>
      <w:bookmarkEnd w:id="0"/>
    </w:p>
    <w:p w14:paraId="5AE74BD8">
      <w:pPr>
        <w:numPr>
          <w:numId w:val="0"/>
        </w:numPr>
        <w:ind w:leftChars="0"/>
        <w:jc w:val="center"/>
        <w:rPr>
          <w:rFonts w:hint="default"/>
          <w:b/>
          <w:bCs/>
          <w:sz w:val="32"/>
          <w:szCs w:val="40"/>
          <w:u w:val="single"/>
          <w:lang w:val="fr-FR"/>
        </w:rPr>
      </w:pPr>
      <w:r>
        <w:rPr>
          <w:rFonts w:hint="default"/>
          <w:b/>
          <w:bCs/>
          <w:sz w:val="32"/>
          <w:szCs w:val="40"/>
          <w:u w:val="single"/>
          <w:lang w:val="fr-FR"/>
        </w:rPr>
        <w:t>Les intoxications aux psychotropes</w:t>
      </w:r>
    </w:p>
    <w:p w14:paraId="05BA7756">
      <w:pPr>
        <w:numPr>
          <w:numId w:val="0"/>
        </w:numPr>
        <w:ind w:leftChars="0"/>
        <w:rPr>
          <w:rFonts w:hint="default"/>
        </w:rPr>
      </w:pPr>
    </w:p>
    <w:p w14:paraId="63944668">
      <w:pPr>
        <w:numPr>
          <w:numId w:val="0"/>
        </w:numPr>
        <w:ind w:leftChars="0"/>
        <w:rPr>
          <w:rFonts w:hint="default"/>
        </w:rPr>
      </w:pPr>
    </w:p>
    <w:p w14:paraId="6A4199A8">
      <w:pPr>
        <w:numPr>
          <w:ilvl w:val="0"/>
          <w:numId w:val="1"/>
        </w:numPr>
        <w:ind w:left="425" w:leftChars="0" w:hanging="425" w:firstLineChars="0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L’action antipsychotique des neuroleptiques repose sur un ou plusieurs des mécanismes suivants:</w:t>
      </w:r>
    </w:p>
    <w:p w14:paraId="1C32F5B1">
      <w:pPr>
        <w:numPr>
          <w:ilvl w:val="0"/>
          <w:numId w:val="2"/>
        </w:numPr>
        <w:ind w:left="845" w:leftChars="0" w:hanging="425" w:firstLineChars="0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l’inhibition des récepteurs dopaminergiques.</w:t>
      </w:r>
    </w:p>
    <w:p w14:paraId="0923E5CA">
      <w:pPr>
        <w:numPr>
          <w:ilvl w:val="0"/>
          <w:numId w:val="2"/>
        </w:numPr>
        <w:ind w:left="845" w:leftChars="0" w:hanging="425" w:firstLineChars="0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l’inhibition des récepteurs alpha 1 adrénergique.</w:t>
      </w:r>
    </w:p>
    <w:p w14:paraId="47A26516">
      <w:pPr>
        <w:numPr>
          <w:ilvl w:val="0"/>
          <w:numId w:val="2"/>
        </w:numPr>
        <w:ind w:left="845" w:leftChars="0" w:hanging="425" w:firstLineChars="0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l’inhibition des récepteurs gabaergiques.</w:t>
      </w:r>
    </w:p>
    <w:p w14:paraId="5FB58FBD">
      <w:pPr>
        <w:numPr>
          <w:ilvl w:val="0"/>
          <w:numId w:val="2"/>
        </w:numPr>
        <w:ind w:left="845" w:leftChars="0" w:hanging="425" w:firstLineChars="0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inhibition des récepteurs 5HT.</w:t>
      </w:r>
    </w:p>
    <w:p w14:paraId="25F3B4F7">
      <w:pPr>
        <w:numPr>
          <w:ilvl w:val="0"/>
          <w:numId w:val="2"/>
        </w:numPr>
        <w:ind w:left="845" w:leftChars="0" w:hanging="425" w:firstLineChars="0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L’inhibition des récepteurs H1.</w:t>
      </w:r>
    </w:p>
    <w:p w14:paraId="3EEDD98B">
      <w:pPr>
        <w:numPr>
          <w:ilvl w:val="0"/>
          <w:numId w:val="0"/>
        </w:numPr>
        <w:ind w:left="840" w:leftChars="0"/>
        <w:rPr>
          <w:rFonts w:hint="default"/>
          <w:sz w:val="24"/>
          <w:szCs w:val="32"/>
        </w:rPr>
      </w:pPr>
    </w:p>
    <w:p w14:paraId="017D0872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Les effets des benzodiazépines sont :</w:t>
      </w:r>
    </w:p>
    <w:p w14:paraId="37049916">
      <w:pPr>
        <w:numPr>
          <w:ilvl w:val="0"/>
          <w:numId w:val="3"/>
        </w:numPr>
        <w:ind w:left="845" w:leftChars="0" w:hanging="425" w:firstLineChars="0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Anxiolytique</w:t>
      </w:r>
    </w:p>
    <w:p w14:paraId="1D4CED65">
      <w:pPr>
        <w:numPr>
          <w:ilvl w:val="0"/>
          <w:numId w:val="3"/>
        </w:numPr>
        <w:ind w:left="845" w:leftChars="0" w:hanging="425" w:firstLineChars="0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Anticonvulsivant</w:t>
      </w:r>
    </w:p>
    <w:p w14:paraId="3CC7B211">
      <w:pPr>
        <w:numPr>
          <w:ilvl w:val="0"/>
          <w:numId w:val="3"/>
        </w:numPr>
        <w:ind w:left="845" w:leftChars="0" w:hanging="425" w:firstLineChars="0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Hypnotique</w:t>
      </w:r>
    </w:p>
    <w:p w14:paraId="319CCB3C">
      <w:pPr>
        <w:numPr>
          <w:ilvl w:val="0"/>
          <w:numId w:val="3"/>
        </w:numPr>
        <w:ind w:left="845" w:leftChars="0" w:hanging="425" w:firstLineChars="0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Myorelaxant</w:t>
      </w:r>
    </w:p>
    <w:p w14:paraId="61996416">
      <w:pPr>
        <w:numPr>
          <w:ilvl w:val="0"/>
          <w:numId w:val="3"/>
        </w:numPr>
        <w:ind w:left="845" w:leftChars="0" w:hanging="425" w:firstLineChars="0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Hallucinogène</w:t>
      </w:r>
    </w:p>
    <w:p w14:paraId="78AA800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</w:rPr>
      </w:pPr>
    </w:p>
    <w:p w14:paraId="6EF1598E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Une intoxication aigue aux benzodiazépines se manifeste typiquement par :</w:t>
      </w:r>
    </w:p>
    <w:p w14:paraId="623639B2">
      <w:pPr>
        <w:widowControl w:val="0"/>
        <w:numPr>
          <w:ilvl w:val="0"/>
          <w:numId w:val="4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Un coma hypotonique aréflectique</w:t>
      </w:r>
    </w:p>
    <w:p w14:paraId="00485390">
      <w:pPr>
        <w:widowControl w:val="0"/>
        <w:numPr>
          <w:ilvl w:val="0"/>
          <w:numId w:val="4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Mydriase bilatérale</w:t>
      </w:r>
    </w:p>
    <w:p w14:paraId="5801DA00">
      <w:pPr>
        <w:widowControl w:val="0"/>
        <w:numPr>
          <w:ilvl w:val="0"/>
          <w:numId w:val="4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Asymétrie du tonus</w:t>
      </w:r>
    </w:p>
    <w:p w14:paraId="555E4FA1">
      <w:pPr>
        <w:widowControl w:val="0"/>
        <w:numPr>
          <w:ilvl w:val="0"/>
          <w:numId w:val="4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Allongement du QT à l’ECG</w:t>
      </w:r>
    </w:p>
    <w:p w14:paraId="02452A8B">
      <w:pPr>
        <w:widowControl w:val="0"/>
        <w:numPr>
          <w:ilvl w:val="0"/>
          <w:numId w:val="4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Convulsions</w:t>
      </w:r>
    </w:p>
    <w:p w14:paraId="77AA291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</w:rPr>
      </w:pPr>
    </w:p>
    <w:p w14:paraId="2804BD56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Les antidépresseurs tricycliques :</w:t>
      </w:r>
    </w:p>
    <w:p w14:paraId="5EA60944">
      <w:pPr>
        <w:widowControl w:val="0"/>
        <w:numPr>
          <w:ilvl w:val="0"/>
          <w:numId w:val="5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Augmentent le seuil épileptogène</w:t>
      </w:r>
    </w:p>
    <w:p w14:paraId="4BD4A77A">
      <w:pPr>
        <w:widowControl w:val="0"/>
        <w:numPr>
          <w:ilvl w:val="0"/>
          <w:numId w:val="5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N’ont aucun risque en cas d’association aux inhibiteurs non sélectifs de la mono amine oxydase (IMAO)</w:t>
      </w:r>
    </w:p>
    <w:p w14:paraId="5F05743F">
      <w:pPr>
        <w:widowControl w:val="0"/>
        <w:numPr>
          <w:ilvl w:val="0"/>
          <w:numId w:val="5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Peuvent induire une hypotension orthostatique</w:t>
      </w:r>
    </w:p>
    <w:p w14:paraId="45BDCD3F">
      <w:pPr>
        <w:widowControl w:val="0"/>
        <w:numPr>
          <w:ilvl w:val="0"/>
          <w:numId w:val="5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Peuvent induire des troubles du rythme cardiaque</w:t>
      </w:r>
    </w:p>
    <w:p w14:paraId="2F883DD5">
      <w:pPr>
        <w:widowControl w:val="0"/>
        <w:numPr>
          <w:ilvl w:val="0"/>
          <w:numId w:val="5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Ont un effet sédatif</w:t>
      </w:r>
    </w:p>
    <w:p w14:paraId="25A0F35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</w:rPr>
      </w:pPr>
    </w:p>
    <w:p w14:paraId="1DF79BE8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Le syndrome anti cholinergique secondaire à une intoxication par les anti-dépresseurs tricyclique provoque :</w:t>
      </w:r>
    </w:p>
    <w:p w14:paraId="64C6538C">
      <w:pPr>
        <w:widowControl w:val="0"/>
        <w:numPr>
          <w:ilvl w:val="0"/>
          <w:numId w:val="6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une mydriase</w:t>
      </w:r>
    </w:p>
    <w:p w14:paraId="5A32DB8B">
      <w:pPr>
        <w:widowControl w:val="0"/>
        <w:numPr>
          <w:ilvl w:val="0"/>
          <w:numId w:val="6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une constipation</w:t>
      </w:r>
    </w:p>
    <w:p w14:paraId="385C4DD2">
      <w:pPr>
        <w:widowControl w:val="0"/>
        <w:numPr>
          <w:ilvl w:val="0"/>
          <w:numId w:val="6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une bradycardie</w:t>
      </w:r>
    </w:p>
    <w:p w14:paraId="78119050">
      <w:pPr>
        <w:widowControl w:val="0"/>
        <w:numPr>
          <w:ilvl w:val="0"/>
          <w:numId w:val="6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 xml:space="preserve">Un larmoiement </w:t>
      </w:r>
    </w:p>
    <w:p w14:paraId="42F11B69">
      <w:pPr>
        <w:widowControl w:val="0"/>
        <w:numPr>
          <w:ilvl w:val="0"/>
          <w:numId w:val="6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une glycosurie</w:t>
      </w:r>
      <w:r>
        <w:rPr>
          <w:rFonts w:hint="default"/>
          <w:sz w:val="24"/>
          <w:szCs w:val="32"/>
          <w:lang w:val="fr-FR"/>
        </w:rPr>
        <w:t xml:space="preserve"> </w:t>
      </w:r>
    </w:p>
    <w:p w14:paraId="247C532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</w:rPr>
      </w:pPr>
    </w:p>
    <w:p w14:paraId="12C710E1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Le syndrome anticholinergique comporte les signes suivants:</w:t>
      </w:r>
    </w:p>
    <w:p w14:paraId="4668779F">
      <w:pPr>
        <w:widowControl w:val="0"/>
        <w:numPr>
          <w:ilvl w:val="0"/>
          <w:numId w:val="7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Coma calme</w:t>
      </w:r>
    </w:p>
    <w:p w14:paraId="04520EE2">
      <w:pPr>
        <w:widowControl w:val="0"/>
        <w:numPr>
          <w:ilvl w:val="0"/>
          <w:numId w:val="7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Tachycardie sinusale</w:t>
      </w:r>
    </w:p>
    <w:p w14:paraId="607FA6A6">
      <w:pPr>
        <w:widowControl w:val="0"/>
        <w:numPr>
          <w:ilvl w:val="0"/>
          <w:numId w:val="7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Mydriase</w:t>
      </w:r>
    </w:p>
    <w:p w14:paraId="2DA87896">
      <w:pPr>
        <w:widowControl w:val="0"/>
        <w:numPr>
          <w:ilvl w:val="0"/>
          <w:numId w:val="7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Crises convulsives</w:t>
      </w:r>
    </w:p>
    <w:p w14:paraId="60DFE9D4">
      <w:pPr>
        <w:widowControl w:val="0"/>
        <w:numPr>
          <w:ilvl w:val="0"/>
          <w:numId w:val="7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Hypersécrétion bronchique et salivaire</w:t>
      </w:r>
    </w:p>
    <w:p w14:paraId="71C8B3CA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Quelles sont les caractéristiques d’une intoxication aux neuroleptiques:</w:t>
      </w:r>
    </w:p>
    <w:p w14:paraId="5AF4AD7F">
      <w:pPr>
        <w:widowControl w:val="0"/>
        <w:numPr>
          <w:ilvl w:val="0"/>
          <w:numId w:val="8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syndrome anticholinergique</w:t>
      </w:r>
    </w:p>
    <w:p w14:paraId="0A7DC34F">
      <w:pPr>
        <w:widowControl w:val="0"/>
        <w:numPr>
          <w:ilvl w:val="0"/>
          <w:numId w:val="8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hypertension</w:t>
      </w:r>
    </w:p>
    <w:p w14:paraId="7E36F080">
      <w:pPr>
        <w:widowControl w:val="0"/>
        <w:numPr>
          <w:ilvl w:val="0"/>
          <w:numId w:val="8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coma hypotonique</w:t>
      </w:r>
    </w:p>
    <w:p w14:paraId="7C0EF7DF">
      <w:pPr>
        <w:widowControl w:val="0"/>
        <w:numPr>
          <w:ilvl w:val="0"/>
          <w:numId w:val="8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arythmie</w:t>
      </w:r>
    </w:p>
    <w:p w14:paraId="696CFAE5">
      <w:pPr>
        <w:widowControl w:val="0"/>
        <w:numPr>
          <w:ilvl w:val="0"/>
          <w:numId w:val="8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bradycardie</w:t>
      </w:r>
    </w:p>
    <w:p w14:paraId="0A2BF87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</w:rPr>
      </w:pPr>
    </w:p>
    <w:p w14:paraId="31287BE3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Quelle  classe de psychotrope serait responsable  du syndrome anticholinergique ?</w:t>
      </w:r>
    </w:p>
    <w:p w14:paraId="0E2BC899">
      <w:pPr>
        <w:widowControl w:val="0"/>
        <w:numPr>
          <w:ilvl w:val="0"/>
          <w:numId w:val="9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Benzodiazépine</w:t>
      </w:r>
    </w:p>
    <w:p w14:paraId="557B9CD8">
      <w:pPr>
        <w:widowControl w:val="0"/>
        <w:numPr>
          <w:ilvl w:val="0"/>
          <w:numId w:val="9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Antidépresseur tricyclique</w:t>
      </w:r>
    </w:p>
    <w:p w14:paraId="276D500D">
      <w:pPr>
        <w:widowControl w:val="0"/>
        <w:numPr>
          <w:ilvl w:val="0"/>
          <w:numId w:val="9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Antidépresseur inhibiteur de la recapture de la sérotonine</w:t>
      </w:r>
    </w:p>
    <w:p w14:paraId="47F6FB18">
      <w:pPr>
        <w:widowControl w:val="0"/>
        <w:numPr>
          <w:ilvl w:val="0"/>
          <w:numId w:val="9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Lithium</w:t>
      </w:r>
    </w:p>
    <w:p w14:paraId="281996C7">
      <w:pPr>
        <w:widowControl w:val="0"/>
        <w:numPr>
          <w:ilvl w:val="0"/>
          <w:numId w:val="9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Neuroleptique</w:t>
      </w:r>
    </w:p>
    <w:p w14:paraId="56F4713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</w:rPr>
      </w:pPr>
    </w:p>
    <w:p w14:paraId="2EB02A0A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Quel est l’examen complémentaire  à demander en première intention devant une intoxication aux tricycliques compliquée d’état de choc ?:</w:t>
      </w:r>
    </w:p>
    <w:p w14:paraId="11102BCC">
      <w:pPr>
        <w:widowControl w:val="0"/>
        <w:numPr>
          <w:ilvl w:val="0"/>
          <w:numId w:val="10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Echographie cardiaque</w:t>
      </w:r>
    </w:p>
    <w:p w14:paraId="43319431">
      <w:pPr>
        <w:widowControl w:val="0"/>
        <w:numPr>
          <w:ilvl w:val="0"/>
          <w:numId w:val="10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Exploration hémodynamique par cathétérisme droit</w:t>
      </w:r>
    </w:p>
    <w:p w14:paraId="67F181D9">
      <w:pPr>
        <w:widowControl w:val="0"/>
        <w:numPr>
          <w:ilvl w:val="0"/>
          <w:numId w:val="10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Dosage des enzymes cardiaques</w:t>
      </w:r>
    </w:p>
    <w:p w14:paraId="2DDFCBBA">
      <w:pPr>
        <w:widowControl w:val="0"/>
        <w:numPr>
          <w:ilvl w:val="0"/>
          <w:numId w:val="10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ECG</w:t>
      </w:r>
    </w:p>
    <w:p w14:paraId="37C2E8EE">
      <w:pPr>
        <w:widowControl w:val="0"/>
        <w:numPr>
          <w:ilvl w:val="0"/>
          <w:numId w:val="10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Pro BNP</w:t>
      </w:r>
    </w:p>
    <w:p w14:paraId="5A68425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</w:rPr>
      </w:pPr>
    </w:p>
    <w:p w14:paraId="2F4F80CF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Quels sont les psychotropes susceptibles d’engendrer un effet stabilisant de membrane:</w:t>
      </w:r>
    </w:p>
    <w:p w14:paraId="33A224CA">
      <w:pPr>
        <w:widowControl w:val="0"/>
        <w:numPr>
          <w:ilvl w:val="0"/>
          <w:numId w:val="11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Les carbamates</w:t>
      </w:r>
    </w:p>
    <w:p w14:paraId="6051491E">
      <w:pPr>
        <w:widowControl w:val="0"/>
        <w:numPr>
          <w:ilvl w:val="0"/>
          <w:numId w:val="11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La carbamazépine</w:t>
      </w:r>
    </w:p>
    <w:p w14:paraId="6A436E2C">
      <w:pPr>
        <w:widowControl w:val="0"/>
        <w:numPr>
          <w:ilvl w:val="0"/>
          <w:numId w:val="11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Les antidépresseurs tricycliques</w:t>
      </w:r>
    </w:p>
    <w:p w14:paraId="78683786">
      <w:pPr>
        <w:widowControl w:val="0"/>
        <w:numPr>
          <w:ilvl w:val="0"/>
          <w:numId w:val="11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Les antidépresseurs inhibiteurs de la recapture de la sérotonine</w:t>
      </w:r>
    </w:p>
    <w:p w14:paraId="7F6C271D">
      <w:pPr>
        <w:widowControl w:val="0"/>
        <w:numPr>
          <w:ilvl w:val="0"/>
          <w:numId w:val="11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La cocaïne</w:t>
      </w:r>
    </w:p>
    <w:p w14:paraId="765B9C6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</w:rPr>
      </w:pPr>
    </w:p>
    <w:p w14:paraId="46CFE915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 xml:space="preserve">L’effet stabilisant de membrane (ESM) : </w:t>
      </w:r>
    </w:p>
    <w:p w14:paraId="5CD61403">
      <w:pPr>
        <w:widowControl w:val="0"/>
        <w:numPr>
          <w:ilvl w:val="0"/>
          <w:numId w:val="12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 xml:space="preserve">C’est une complication redoutable de l’intoxication par les antidépresseurs tricycliques </w:t>
      </w:r>
    </w:p>
    <w:p w14:paraId="18608C48">
      <w:pPr>
        <w:widowControl w:val="0"/>
        <w:numPr>
          <w:ilvl w:val="0"/>
          <w:numId w:val="12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 xml:space="preserve">Il se traduit par un élargissement du QRS </w:t>
      </w:r>
    </w:p>
    <w:p w14:paraId="3C13D8C0">
      <w:pPr>
        <w:widowControl w:val="0"/>
        <w:numPr>
          <w:ilvl w:val="0"/>
          <w:numId w:val="12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 xml:space="preserve">Il se traduit par un allongement du QT </w:t>
      </w:r>
    </w:p>
    <w:p w14:paraId="66CA62BA">
      <w:pPr>
        <w:widowControl w:val="0"/>
        <w:numPr>
          <w:ilvl w:val="0"/>
          <w:numId w:val="12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 xml:space="preserve">Il se traduit par un allongement du PR </w:t>
      </w:r>
    </w:p>
    <w:p w14:paraId="62C3A998">
      <w:pPr>
        <w:widowControl w:val="0"/>
        <w:numPr>
          <w:ilvl w:val="0"/>
          <w:numId w:val="12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Il se traduit par une déviation de l’axe du cœur à gauche.</w:t>
      </w:r>
    </w:p>
    <w:p w14:paraId="0F2915A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</w:rPr>
      </w:pPr>
    </w:p>
    <w:p w14:paraId="0675796E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 xml:space="preserve">L'intoxication aiguë aux opiacés est responsable </w:t>
      </w:r>
      <w:r>
        <w:rPr>
          <w:rFonts w:hint="default"/>
          <w:sz w:val="24"/>
          <w:szCs w:val="32"/>
          <w:lang w:val="fr-FR"/>
        </w:rPr>
        <w:t>de (d’)</w:t>
      </w:r>
      <w:r>
        <w:rPr>
          <w:rFonts w:hint="default"/>
          <w:sz w:val="24"/>
          <w:szCs w:val="32"/>
        </w:rPr>
        <w:t>:</w:t>
      </w:r>
    </w:p>
    <w:p w14:paraId="424A5A57">
      <w:pPr>
        <w:widowControl w:val="0"/>
        <w:numPr>
          <w:ilvl w:val="0"/>
          <w:numId w:val="13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une anisocorie</w:t>
      </w:r>
    </w:p>
    <w:p w14:paraId="54D62A89">
      <w:pPr>
        <w:widowControl w:val="0"/>
        <w:numPr>
          <w:ilvl w:val="0"/>
          <w:numId w:val="13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une mydriase bilatérale aréactive</w:t>
      </w:r>
    </w:p>
    <w:p w14:paraId="4EA50696">
      <w:pPr>
        <w:widowControl w:val="0"/>
        <w:numPr>
          <w:ilvl w:val="0"/>
          <w:numId w:val="13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un myosis</w:t>
      </w:r>
    </w:p>
    <w:p w14:paraId="28A75442">
      <w:pPr>
        <w:widowControl w:val="0"/>
        <w:numPr>
          <w:ilvl w:val="0"/>
          <w:numId w:val="13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une bradypnée</w:t>
      </w:r>
    </w:p>
    <w:p w14:paraId="70316E51">
      <w:pPr>
        <w:widowControl w:val="0"/>
        <w:numPr>
          <w:ilvl w:val="0"/>
          <w:numId w:val="13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hypotension artérielle</w:t>
      </w:r>
    </w:p>
    <w:p w14:paraId="651C62B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</w:rPr>
      </w:pPr>
    </w:p>
    <w:p w14:paraId="0982686E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Une intoxication par le lithium peut se manifester par :</w:t>
      </w:r>
    </w:p>
    <w:p w14:paraId="29A63C2A">
      <w:pPr>
        <w:widowControl w:val="0"/>
        <w:numPr>
          <w:ilvl w:val="0"/>
          <w:numId w:val="14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Des diarrhées</w:t>
      </w:r>
    </w:p>
    <w:p w14:paraId="5AA34CC3">
      <w:pPr>
        <w:widowControl w:val="0"/>
        <w:numPr>
          <w:ilvl w:val="0"/>
          <w:numId w:val="14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Des myoclonies</w:t>
      </w:r>
    </w:p>
    <w:p w14:paraId="3326585E">
      <w:pPr>
        <w:widowControl w:val="0"/>
        <w:numPr>
          <w:ilvl w:val="0"/>
          <w:numId w:val="14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Une insuffisance rénale</w:t>
      </w:r>
    </w:p>
    <w:p w14:paraId="7EE9A343">
      <w:pPr>
        <w:widowControl w:val="0"/>
        <w:numPr>
          <w:ilvl w:val="0"/>
          <w:numId w:val="14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Une encéphalopathie</w:t>
      </w:r>
    </w:p>
    <w:p w14:paraId="2A5B0EBC">
      <w:pPr>
        <w:widowControl w:val="0"/>
        <w:numPr>
          <w:ilvl w:val="0"/>
          <w:numId w:val="14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Une hyperthermie</w:t>
      </w:r>
    </w:p>
    <w:p w14:paraId="1FA41E9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</w:rPr>
      </w:pPr>
    </w:p>
    <w:p w14:paraId="1673CFBF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L’anexate (flumazénil) est l’antidote de :</w:t>
      </w:r>
    </w:p>
    <w:p w14:paraId="4C5E0FBF">
      <w:pPr>
        <w:widowControl w:val="0"/>
        <w:numPr>
          <w:ilvl w:val="0"/>
          <w:numId w:val="15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Les opiacés</w:t>
      </w:r>
    </w:p>
    <w:p w14:paraId="44DE3B4E">
      <w:pPr>
        <w:widowControl w:val="0"/>
        <w:numPr>
          <w:ilvl w:val="0"/>
          <w:numId w:val="15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Les barbituriques</w:t>
      </w:r>
    </w:p>
    <w:p w14:paraId="6725DD6E">
      <w:pPr>
        <w:widowControl w:val="0"/>
        <w:numPr>
          <w:ilvl w:val="0"/>
          <w:numId w:val="15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Les benzodiazépines</w:t>
      </w:r>
    </w:p>
    <w:p w14:paraId="6D3BB442">
      <w:pPr>
        <w:widowControl w:val="0"/>
        <w:numPr>
          <w:ilvl w:val="0"/>
          <w:numId w:val="15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Le paracétamol</w:t>
      </w:r>
    </w:p>
    <w:p w14:paraId="608CC446">
      <w:pPr>
        <w:widowControl w:val="0"/>
        <w:numPr>
          <w:ilvl w:val="0"/>
          <w:numId w:val="15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Les anti dépresseurs tricycliques</w:t>
      </w:r>
    </w:p>
    <w:p w14:paraId="62B8CAA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</w:rPr>
      </w:pPr>
    </w:p>
    <w:p w14:paraId="4CA74623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La prise en charge thérapeutique des intoxications par les antidépresseurs tricycliques comporte :</w:t>
      </w:r>
    </w:p>
    <w:p w14:paraId="4FF96838">
      <w:pPr>
        <w:widowControl w:val="0"/>
        <w:numPr>
          <w:ilvl w:val="0"/>
          <w:numId w:val="16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Lavage gastrique précoce et prudent</w:t>
      </w:r>
    </w:p>
    <w:p w14:paraId="4F64C4E9">
      <w:pPr>
        <w:widowControl w:val="0"/>
        <w:numPr>
          <w:ilvl w:val="0"/>
          <w:numId w:val="16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absorption répétée par du Charbon activé</w:t>
      </w:r>
    </w:p>
    <w:p w14:paraId="3BFFC4AF">
      <w:pPr>
        <w:widowControl w:val="0"/>
        <w:numPr>
          <w:ilvl w:val="0"/>
          <w:numId w:val="16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Accélération de l’élimination par le Flumazénil</w:t>
      </w:r>
    </w:p>
    <w:p w14:paraId="472A6A35">
      <w:pPr>
        <w:widowControl w:val="0"/>
        <w:numPr>
          <w:ilvl w:val="0"/>
          <w:numId w:val="16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Traitement antidotique par du bicarbonate molaire</w:t>
      </w:r>
    </w:p>
    <w:p w14:paraId="12EFC1E5">
      <w:pPr>
        <w:widowControl w:val="0"/>
        <w:numPr>
          <w:ilvl w:val="0"/>
          <w:numId w:val="16"/>
        </w:numPr>
        <w:ind w:left="845" w:leftChars="0" w:hanging="425" w:firstLineChars="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Hémodialyse</w:t>
      </w:r>
    </w:p>
    <w:p w14:paraId="6914911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</w:rPr>
      </w:pPr>
    </w:p>
    <w:p w14:paraId="5ACF35CA">
      <w:pPr>
        <w:numPr>
          <w:ilvl w:val="0"/>
          <w:numId w:val="1"/>
        </w:numPr>
        <w:ind w:left="425" w:leftChars="0" w:hanging="425" w:firstLineChars="0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 xml:space="preserve">Les contre-indications du lavage gastrique en cas d’intoxication aux psychotropes sont les suivants : </w:t>
      </w:r>
    </w:p>
    <w:p w14:paraId="7ED29BB5">
      <w:pPr>
        <w:numPr>
          <w:ilvl w:val="0"/>
          <w:numId w:val="17"/>
        </w:numPr>
        <w:ind w:left="845" w:leftChars="0" w:hanging="425" w:firstLineChars="0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 xml:space="preserve">Les vomissements </w:t>
      </w:r>
    </w:p>
    <w:p w14:paraId="364CB0B8">
      <w:pPr>
        <w:numPr>
          <w:ilvl w:val="0"/>
          <w:numId w:val="17"/>
        </w:numPr>
        <w:ind w:left="845" w:leftChars="0" w:hanging="425" w:firstLineChars="0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 xml:space="preserve">L’association à des produits pétroliers ou caustiques </w:t>
      </w:r>
    </w:p>
    <w:p w14:paraId="6BEE350C">
      <w:pPr>
        <w:numPr>
          <w:ilvl w:val="0"/>
          <w:numId w:val="17"/>
        </w:numPr>
        <w:ind w:left="845" w:leftChars="0" w:hanging="425" w:firstLineChars="0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 xml:space="preserve">La présence de varices œsophagiennes </w:t>
      </w:r>
    </w:p>
    <w:p w14:paraId="5EA5E4E7">
      <w:pPr>
        <w:numPr>
          <w:ilvl w:val="0"/>
          <w:numId w:val="17"/>
        </w:numPr>
        <w:ind w:left="845" w:leftChars="0" w:hanging="425" w:firstLineChars="0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 xml:space="preserve">Le reflux gastro-oesophagien </w:t>
      </w:r>
    </w:p>
    <w:p w14:paraId="18810727">
      <w:pPr>
        <w:numPr>
          <w:ilvl w:val="0"/>
          <w:numId w:val="17"/>
        </w:numPr>
        <w:ind w:left="845" w:leftChars="0" w:hanging="425" w:firstLineChars="0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Le coma</w:t>
      </w:r>
    </w:p>
    <w:p w14:paraId="23F671A9">
      <w:pPr>
        <w:numPr>
          <w:ilvl w:val="0"/>
          <w:numId w:val="0"/>
        </w:numPr>
        <w:ind w:left="840" w:leftChars="0"/>
        <w:rPr>
          <w:rFonts w:hint="default"/>
        </w:rPr>
      </w:pPr>
    </w:p>
    <w:p w14:paraId="207C8A41">
      <w:pPr>
        <w:numPr>
          <w:ilvl w:val="0"/>
          <w:numId w:val="0"/>
        </w:numPr>
        <w:ind w:left="840" w:leftChars="0"/>
        <w:rPr>
          <w:rFonts w:hint="default"/>
        </w:rPr>
      </w:pPr>
    </w:p>
    <w:p w14:paraId="48000DDC">
      <w:pPr>
        <w:numPr>
          <w:ilvl w:val="0"/>
          <w:numId w:val="0"/>
        </w:numPr>
        <w:ind w:left="840" w:leftChars="0"/>
        <w:rPr>
          <w:rFonts w:hint="default"/>
        </w:rPr>
      </w:pPr>
    </w:p>
    <w:p w14:paraId="120143D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373D9"/>
    <w:multiLevelType w:val="singleLevel"/>
    <w:tmpl w:val="804373D9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805B60D7"/>
    <w:multiLevelType w:val="singleLevel"/>
    <w:tmpl w:val="805B60D7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">
    <w:nsid w:val="BEA7F69A"/>
    <w:multiLevelType w:val="singleLevel"/>
    <w:tmpl w:val="BEA7F69A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">
    <w:nsid w:val="D83B3E87"/>
    <w:multiLevelType w:val="singleLevel"/>
    <w:tmpl w:val="D83B3E87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">
    <w:nsid w:val="FF15CA18"/>
    <w:multiLevelType w:val="singleLevel"/>
    <w:tmpl w:val="FF15CA18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5">
    <w:nsid w:val="04B3937E"/>
    <w:multiLevelType w:val="singleLevel"/>
    <w:tmpl w:val="04B3937E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6">
    <w:nsid w:val="054FF5BA"/>
    <w:multiLevelType w:val="singleLevel"/>
    <w:tmpl w:val="054FF5BA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06E8979F"/>
    <w:multiLevelType w:val="singleLevel"/>
    <w:tmpl w:val="06E8979F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8">
    <w:nsid w:val="0DB4E846"/>
    <w:multiLevelType w:val="singleLevel"/>
    <w:tmpl w:val="0DB4E846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9">
    <w:nsid w:val="1580A871"/>
    <w:multiLevelType w:val="singleLevel"/>
    <w:tmpl w:val="1580A871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0">
    <w:nsid w:val="2497A6E3"/>
    <w:multiLevelType w:val="singleLevel"/>
    <w:tmpl w:val="2497A6E3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1">
    <w:nsid w:val="293AF23E"/>
    <w:multiLevelType w:val="singleLevel"/>
    <w:tmpl w:val="293AF23E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2">
    <w:nsid w:val="29852921"/>
    <w:multiLevelType w:val="singleLevel"/>
    <w:tmpl w:val="29852921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3">
    <w:nsid w:val="62EF2EA3"/>
    <w:multiLevelType w:val="singleLevel"/>
    <w:tmpl w:val="62EF2EA3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4">
    <w:nsid w:val="6EE6788C"/>
    <w:multiLevelType w:val="singleLevel"/>
    <w:tmpl w:val="6EE6788C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5">
    <w:nsid w:val="78118203"/>
    <w:multiLevelType w:val="singleLevel"/>
    <w:tmpl w:val="78118203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6">
    <w:nsid w:val="7DF89D63"/>
    <w:multiLevelType w:val="singleLevel"/>
    <w:tmpl w:val="7DF89D63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6"/>
  </w:num>
  <w:num w:numId="2">
    <w:abstractNumId w:val="7"/>
  </w:num>
  <w:num w:numId="3">
    <w:abstractNumId w:val="12"/>
  </w:num>
  <w:num w:numId="4">
    <w:abstractNumId w:val="9"/>
  </w:num>
  <w:num w:numId="5">
    <w:abstractNumId w:val="3"/>
  </w:num>
  <w:num w:numId="6">
    <w:abstractNumId w:val="13"/>
  </w:num>
  <w:num w:numId="7">
    <w:abstractNumId w:val="16"/>
  </w:num>
  <w:num w:numId="8">
    <w:abstractNumId w:val="10"/>
  </w:num>
  <w:num w:numId="9">
    <w:abstractNumId w:val="11"/>
  </w:num>
  <w:num w:numId="10">
    <w:abstractNumId w:val="15"/>
  </w:num>
  <w:num w:numId="11">
    <w:abstractNumId w:val="1"/>
  </w:num>
  <w:num w:numId="12">
    <w:abstractNumId w:val="0"/>
  </w:num>
  <w:num w:numId="13">
    <w:abstractNumId w:val="8"/>
  </w:num>
  <w:num w:numId="14">
    <w:abstractNumId w:val="14"/>
  </w:num>
  <w:num w:numId="15">
    <w:abstractNumId w:val="2"/>
  </w:num>
  <w:num w:numId="16">
    <w:abstractNumId w:val="5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106131"/>
    <w:rsid w:val="0DEB4F18"/>
    <w:rsid w:val="4C10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2025-09-09T07:15:00Z</dcterms:created>
  <dc:creator>Maissa Jrad</dc:creator>
  <cp:lastModifiedBy>Maissa Jrad</cp:lastModifiedBy>
  <dcterms:modified xsi:type="dcterms:W3CDTF">2025-09-09T07:30:01Z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1036-12.2.0.21931</vt:lpwstr>
  </property>
  <property fmtid="{D5CDD505-2E9C-101B-9397-08002B2CF9AE}" pid="3" name="ICV">
    <vt:lpwstr>A037EAA0BBA44E22BE346366F49B4C57_11</vt:lpwstr>
  </property>
</Properties>
</file>