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Chez un malade ATCD de RGO, la survenue d’une dysphagie oriente vers 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sténose peptique.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adénocarcinome de l’œsophage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carcinome épidermoïde de l’œsophage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achalasie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tumeur sous muqueuse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Réponses 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Concernant le cancer de l’œsophage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L’intoxication alcoolo-tabagique est un facteur de risque de l’adénocarcinome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carcinome épidermoïde est le type histologique le plus fréquent.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 plus fréquent chez la femme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dysphagie est le signe révélateur le plus fréquent.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pronostic est mauvais.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Réponses 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Concernant le cancer de l’œsophage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L’adénocarcinome survient sur EBO.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L’EBO est un cancer in-situ.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L’adénocarcinome peut s’associer à un cancer ORL.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carcinome épidermoïde peut s’associer à un cancer ORL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diagnostic repose sur l’endoscopie avec biopsies.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Réponses 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Concernant le léiomyome 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s’agit d’un cancer de l’œsophage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 fréquent.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 un problème de diagnostic différentiel avec les compressions extrinsèques.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diagnostic repose sur les biopsies endoscopiques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diagnostic repose sur l’echoendoscopie.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Réponses 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F549E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uc24UQ2NCZHKvDVQLzaYEtOxw==">CgMxLjA4AHIhMVE3UmZkWU5uY0V1anNjWXBTR25lMldNVnFGSEV4MFZ3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2022-10-09T16:21:00Z</dcterms:created>
  <dc:creator>User</dc:creator>
</cp:coreProperties>
</file>