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2- ADP superficielles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QCM </w:t>
      </w:r>
    </w:p>
    <w:p w:rsidR="00000000" w:rsidDel="00000000" w:rsidP="00000000" w:rsidRDefault="00000000" w:rsidRPr="00000000" w14:paraId="00000003">
      <w:pPr>
        <w:ind w:left="720" w:hanging="360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ACDE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ABCE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ABCE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ACDE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BDE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ABD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ABE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ABCD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ACD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BCD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BD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720" w:w="2528.5"/>
            <w:col w:space="720" w:w="2528.5"/>
            <w:col w:space="0" w:w="2528.5"/>
          </w:cols>
        </w:sectPr>
      </w:pPr>
      <w:r w:rsidDel="00000000" w:rsidR="00000000" w:rsidRPr="00000000">
        <w:rPr>
          <w:rtl w:val="0"/>
        </w:rPr>
        <w:t xml:space="preserve">ABCD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Cas Clinique 1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ACD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Cas Clinique 2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Cas Clinique 3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BCD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Cas Clinique 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Cas Clinique 5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Cas Clinique 6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ABCD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BCE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Cas Clinique 7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Cas Clinique 8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ABDE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Cas Clinique 9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ABD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Cas Clinique 10  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Cas Clinique 11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Cas Clinique 12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ABCD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Cas Clinique 13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ABDE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ABCD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