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A55B6"/>
    <w:p w14:paraId="4206FC03"/>
    <w:p w14:paraId="20FED137"/>
    <w:p w14:paraId="6AACE173">
      <w:pPr>
        <w:pStyle w:val="33"/>
        <w:jc w:val="center"/>
      </w:pPr>
      <w:r>
        <w:rPr>
          <w:rFonts w:ascii="Times New Roman" w:hAnsi="Times New Roman" w:eastAsia="黑体"/>
        </w:rPr>
        <w:t>面向导盲领航的YOLO加速系统</w:t>
      </w:r>
    </w:p>
    <w:p w14:paraId="0551FB02">
      <w:pPr>
        <w:pStyle w:val="27"/>
        <w:jc w:val="center"/>
      </w:pPr>
      <w:r>
        <w:rPr>
          <w:rFonts w:ascii="Times New Roman" w:hAnsi="Times New Roman" w:eastAsia="宋体"/>
          <w:sz w:val="30"/>
        </w:rPr>
        <w:t>技术报告</w:t>
      </w:r>
    </w:p>
    <w:p w14:paraId="3517235D"/>
    <w:p w14:paraId="53B483FF"/>
    <w:p w14:paraId="4F38A5FA"/>
    <w:p w14:paraId="4B444794"/>
    <w:p w14:paraId="157AD7DA">
      <w:pPr>
        <w:spacing w:after="320"/>
        <w:ind w:left="1701"/>
      </w:pPr>
      <w:r>
        <w:t>参赛方向  AMD自主选题赛道</w:t>
      </w:r>
    </w:p>
    <w:p w14:paraId="24B78CEE">
      <w:pPr>
        <w:spacing w:after="320"/>
        <w:ind w:left="1701"/>
      </w:pPr>
      <w:r>
        <w:t>参赛人员  ____________________</w:t>
      </w:r>
    </w:p>
    <w:p w14:paraId="30A64BEC">
      <w:pPr>
        <w:spacing w:after="320"/>
        <w:ind w:left="1701"/>
      </w:pPr>
      <w:r>
        <w:t>团队编号  ____________________</w:t>
      </w:r>
    </w:p>
    <w:p w14:paraId="76BB5ED1">
      <w:pPr>
        <w:spacing w:after="320"/>
        <w:ind w:left="1701"/>
      </w:pPr>
      <w:r>
        <w:t>团队名称  ____________________</w:t>
      </w:r>
    </w:p>
    <w:p w14:paraId="0D318013">
      <w:pPr>
        <w:sectPr>
          <w:footerReference r:id="rId5" w:type="default"/>
          <w:pgSz w:w="11906" w:h="16838"/>
          <w:pgMar w:top="1247" w:right="1361" w:bottom="1134" w:left="1361" w:header="454" w:footer="454" w:gutter="0"/>
          <w:cols w:space="720" w:num="1"/>
          <w:titlePg/>
          <w:docGrid w:linePitch="360" w:charSpace="0"/>
        </w:sectPr>
      </w:pPr>
    </w:p>
    <w:p w14:paraId="3F0B0E07">
      <w:pPr>
        <w:pStyle w:val="33"/>
        <w:jc w:val="center"/>
      </w:pPr>
      <w:r>
        <w:rPr>
          <w:rFonts w:ascii="Times New Roman" w:hAnsi="Times New Roman" w:eastAsia="黑体"/>
          <w:sz w:val="32"/>
        </w:rPr>
        <w:t>摘要</w:t>
      </w:r>
    </w:p>
    <w:p w14:paraId="451B4F2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rPr>
      </w:pPr>
      <w:bookmarkStart w:id="26" w:name="_GoBack"/>
      <w:r>
        <w:rPr>
          <w:rFonts w:hint="eastAsia"/>
        </w:rPr>
        <w:t>本项目面向导盲领航机器人对高效、低功耗环境感知的需求，构建基于 AMD Zynq-7020 的 YOLOv4-tiny 目标检测加速系统。研究以可复用硬件算子、片上数据缓冲和处理器协同调度为核心，将超声测距与人体存在雷达接入目标检测处理链路，形成视觉信息与辅助传感信息协同的环境感知架构。系统能够输出目标类别、空间位置、视觉得分及辅助传感信息，为障碍物描述、语音提示和路径规划提供统一、结构化的感知接口。</w:t>
      </w:r>
    </w:p>
    <w:p w14:paraId="542A07E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rPr>
      </w:pPr>
      <w:r>
        <w:rPr>
          <w:rFonts w:hint="eastAsia"/>
          <w:lang w:val="en-US" w:eastAsia="zh-CN"/>
        </w:rPr>
        <w:t>本团队</w:t>
      </w:r>
      <w:r>
        <w:rPr>
          <w:rFonts w:hint="eastAsia"/>
        </w:rPr>
        <w:t>系统</w:t>
      </w:r>
      <w:r>
        <w:rPr>
          <w:rFonts w:hint="eastAsia"/>
          <w:lang w:val="en-US" w:eastAsia="zh-CN"/>
        </w:rPr>
        <w:t>的</w:t>
      </w:r>
      <w:r>
        <w:rPr>
          <w:rFonts w:hint="eastAsia"/>
        </w:rPr>
        <w:t>完成了图像采集与显示、板上目标检测、传感接口接收和固定权重得分计算等功能验证。板上运行记录显示，单次前向计算时间为 461.799 ms；综合实现结果显示，DSP 使用量为 218/220，芯片功耗评估结果为 2.821 W。上述结果表明，系统能够在 AMD Zynq-7020 平台上实现目标检测加速、多源信息接入与感知结果融合，为导盲领航机器人的环境理解、信息提示和路径规划提供硬件基础。</w:t>
      </w:r>
    </w:p>
    <w:p w14:paraId="3B9225F5">
      <w:pPr>
        <w:keepNext w:val="0"/>
        <w:keepLines w:val="0"/>
        <w:pageBreakBefore w:val="0"/>
        <w:widowControl/>
        <w:kinsoku/>
        <w:wordWrap/>
        <w:overflowPunct/>
        <w:topLinePunct w:val="0"/>
        <w:autoSpaceDE/>
        <w:autoSpaceDN/>
        <w:bidi w:val="0"/>
        <w:adjustRightInd/>
        <w:snapToGrid/>
        <w:spacing w:after="0" w:line="360" w:lineRule="auto"/>
        <w:ind w:firstLine="400" w:firstLineChars="200"/>
        <w:textAlignment w:val="auto"/>
      </w:pPr>
      <w:r>
        <w:rPr>
          <w:sz w:val="20"/>
        </w:rPr>
        <w:t>关键词  导盲环境感知；FPGA；Zynq-7020；YOLOv4-tiny；多传感器信息处理</w:t>
      </w:r>
    </w:p>
    <w:bookmarkEnd w:id="26"/>
    <w:p w14:paraId="70C6F301">
      <w:r>
        <w:br w:type="page"/>
      </w:r>
    </w:p>
    <w:p w14:paraId="1B6566C0">
      <w:pPr>
        <w:pStyle w:val="33"/>
        <w:jc w:val="center"/>
      </w:pPr>
      <w:r>
        <w:rPr>
          <w:rFonts w:ascii="Times New Roman" w:hAnsi="Times New Roman" w:eastAsia="黑体"/>
          <w:sz w:val="32"/>
        </w:rPr>
        <w:t>目录</w:t>
      </w:r>
    </w:p>
    <w:p w14:paraId="28612E68">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TOC \o "1-2" \h \z \u</w:instrText>
      </w:r>
      <w:r>
        <w:fldChar w:fldCharType="separate"/>
      </w:r>
      <w:r>
        <w:fldChar w:fldCharType="begin"/>
      </w:r>
      <w:r>
        <w:instrText xml:space="preserve"> HYPERLINK \l "_Toc243777537" </w:instrText>
      </w:r>
      <w:r>
        <w:fldChar w:fldCharType="separate"/>
      </w:r>
      <w:r>
        <w:rPr>
          <w:rStyle w:val="137"/>
          <w:rFonts w:hint="eastAsia" w:eastAsia="黑体"/>
        </w:rPr>
        <w:t>1 设计概述</w:t>
      </w:r>
      <w:r>
        <w:rPr>
          <w:rFonts w:hint="eastAsia"/>
        </w:rPr>
        <w:tab/>
      </w:r>
      <w:r>
        <w:rPr>
          <w:rFonts w:hint="eastAsia"/>
        </w:rPr>
        <w:fldChar w:fldCharType="begin"/>
      </w:r>
      <w:r>
        <w:rPr>
          <w:rFonts w:hint="eastAsia"/>
        </w:rPr>
        <w:instrText xml:space="preserve"> </w:instrText>
      </w:r>
      <w:r>
        <w:instrText xml:space="preserve">PAGEREF _Toc243777537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33E0913">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"_Toc243777538" </w:instrText>
      </w:r>
      <w:r>
        <w:fldChar w:fldCharType="separate"/>
      </w:r>
      <w:r>
        <w:rPr>
          <w:rStyle w:val="137"/>
          <w:rFonts w:hint="eastAsia" w:eastAsia="黑体"/>
        </w:rPr>
        <w:t>1.1 应用需求与研究范围</w:t>
      </w:r>
      <w:r>
        <w:rPr>
          <w:rFonts w:hint="eastAsia"/>
        </w:rPr>
        <w:tab/>
      </w:r>
      <w:r>
        <w:rPr>
          <w:rFonts w:hint="eastAsia"/>
        </w:rPr>
        <w:fldChar w:fldCharType="begin"/>
      </w:r>
      <w:r>
        <w:rPr>
          <w:rFonts w:hint="eastAsia"/>
        </w:rPr>
        <w:instrText xml:space="preserve"> </w:instrText>
      </w:r>
      <w:r>
        <w:instrText xml:space="preserve">PAGEREF _Toc243777538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6DEEE7B4">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"_Toc243777539" </w:instrText>
      </w:r>
      <w:r>
        <w:fldChar w:fldCharType="separate"/>
      </w:r>
      <w:r>
        <w:rPr>
          <w:rStyle w:val="137"/>
          <w:rFonts w:hint="eastAsia" w:eastAsia="黑体"/>
        </w:rPr>
        <w:t>1.2 系统设计目标</w:t>
      </w:r>
      <w:r>
        <w:rPr>
          <w:rFonts w:hint="eastAsia"/>
        </w:rPr>
        <w:tab/>
      </w:r>
      <w:r>
        <w:rPr>
          <w:rFonts w:hint="eastAsia"/>
        </w:rPr>
        <w:fldChar w:fldCharType="begin"/>
      </w:r>
      <w:r>
        <w:rPr>
          <w:rFonts w:hint="eastAsia"/>
        </w:rPr>
        <w:instrText xml:space="preserve"> </w:instrText>
      </w:r>
      <w:r>
        <w:instrText xml:space="preserve">PAGEREF _Toc243777539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3BE160">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"_Toc243777540" </w:instrText>
      </w:r>
      <w:r>
        <w:fldChar w:fldCharType="separate"/>
      </w:r>
      <w:r>
        <w:rPr>
          <w:rStyle w:val="137"/>
          <w:rFonts w:hint="eastAsia" w:eastAsia="黑体"/>
        </w:rPr>
        <w:t>1.3 设计特色</w:t>
      </w:r>
      <w:r>
        <w:rPr>
          <w:rFonts w:hint="eastAsia"/>
        </w:rPr>
        <w:tab/>
      </w:r>
      <w:r>
        <w:rPr>
          <w:rFonts w:hint="eastAsia"/>
        </w:rPr>
        <w:fldChar w:fldCharType="begin"/>
      </w:r>
      <w:r>
        <w:rPr>
          <w:rFonts w:hint="eastAsia"/>
        </w:rPr>
        <w:instrText xml:space="preserve"> </w:instrText>
      </w:r>
      <w:r>
        <w:instrText xml:space="preserve">PAGEREF _Toc243777540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141D273">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"_Toc243777541" </w:instrText>
      </w:r>
      <w:r>
        <w:fldChar w:fldCharType="separate"/>
      </w:r>
      <w:r>
        <w:rPr>
          <w:rStyle w:val="137"/>
          <w:rFonts w:hint="eastAsia" w:eastAsia="黑体"/>
        </w:rPr>
        <w:t>1.4 技术路线与评价重点</w:t>
      </w:r>
      <w:r>
        <w:rPr>
          <w:rFonts w:hint="eastAsia"/>
        </w:rPr>
        <w:tab/>
      </w:r>
      <w:r>
        <w:rPr>
          <w:rFonts w:hint="eastAsia"/>
        </w:rPr>
        <w:fldChar w:fldCharType="begin"/>
      </w:r>
      <w:r>
        <w:rPr>
          <w:rFonts w:hint="eastAsia"/>
        </w:rPr>
        <w:instrText xml:space="preserve"> </w:instrText>
      </w:r>
      <w:r>
        <w:instrText xml:space="preserve">PAGEREF _Toc243777541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3376ED">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"_Toc243777542" </w:instrText>
      </w:r>
      <w:r>
        <w:fldChar w:fldCharType="separate"/>
      </w:r>
      <w:r>
        <w:rPr>
          <w:rStyle w:val="137"/>
          <w:rFonts w:hint="eastAsia" w:eastAsia="黑体"/>
        </w:rPr>
        <w:t>2 系统组成与实现</w:t>
      </w:r>
      <w:r>
        <w:rPr>
          <w:rFonts w:hint="eastAsia"/>
        </w:rPr>
        <w:tab/>
      </w:r>
      <w:r>
        <w:rPr>
          <w:rFonts w:hint="eastAsia"/>
        </w:rPr>
        <w:fldChar w:fldCharType="begin"/>
      </w:r>
      <w:r>
        <w:rPr>
          <w:rFonts w:hint="eastAsia"/>
        </w:rPr>
        <w:instrText xml:space="preserve"> </w:instrText>
      </w:r>
      <w:r>
        <w:instrText xml:space="preserve">PAGEREF _Toc243777542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22660564">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"_Toc243777543" </w:instrText>
      </w:r>
      <w:r>
        <w:fldChar w:fldCharType="separate"/>
      </w:r>
      <w:r>
        <w:rPr>
          <w:rStyle w:val="137"/>
          <w:rFonts w:hint="eastAsia" w:eastAsia="黑体"/>
        </w:rPr>
        <w:t>2.1 软硬件分工与数据流</w:t>
      </w:r>
      <w:r>
        <w:rPr>
          <w:rFonts w:hint="eastAsia"/>
        </w:rPr>
        <w:tab/>
      </w:r>
      <w:r>
        <w:rPr>
          <w:rFonts w:hint="eastAsia"/>
        </w:rPr>
        <w:fldChar w:fldCharType="begin"/>
      </w:r>
      <w:r>
        <w:rPr>
          <w:rFonts w:hint="eastAsia"/>
        </w:rPr>
        <w:instrText xml:space="preserve"> </w:instrText>
      </w:r>
      <w:r>
        <w:instrText xml:space="preserve">PAGEREF _Toc243777543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3EE99602">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"_Toc243777544" </w:instrText>
      </w:r>
      <w:r>
        <w:fldChar w:fldCharType="separate"/>
      </w:r>
      <w:r>
        <w:rPr>
          <w:rStyle w:val="137"/>
          <w:rFonts w:hint="eastAsia" w:eastAsia="黑体"/>
        </w:rPr>
        <w:t>2.2 FPGA算子加速设计</w:t>
      </w:r>
      <w:r>
        <w:rPr>
          <w:rFonts w:hint="eastAsia"/>
        </w:rPr>
        <w:tab/>
      </w:r>
      <w:r>
        <w:rPr>
          <w:rFonts w:hint="eastAsia"/>
        </w:rPr>
        <w:fldChar w:fldCharType="begin"/>
      </w:r>
      <w:r>
        <w:rPr>
          <w:rFonts w:hint="eastAsia"/>
        </w:rPr>
        <w:instrText xml:space="preserve"> </w:instrText>
      </w:r>
      <w:r>
        <w:instrText xml:space="preserve">PAGEREF _Toc243777544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222CABE9">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"_Toc243777545" </w:instrText>
      </w:r>
      <w:r>
        <w:fldChar w:fldCharType="separate"/>
      </w:r>
      <w:r>
        <w:rPr>
          <w:rStyle w:val="137"/>
          <w:rFonts w:hint="eastAsia" w:eastAsia="黑体"/>
        </w:rPr>
        <w:t>2.3 多传感器辅助得分处理</w:t>
      </w:r>
      <w:r>
        <w:rPr>
          <w:rFonts w:hint="eastAsia"/>
        </w:rPr>
        <w:tab/>
      </w:r>
      <w:r>
        <w:rPr>
          <w:rFonts w:hint="eastAsia"/>
        </w:rPr>
        <w:fldChar w:fldCharType="begin"/>
      </w:r>
      <w:r>
        <w:rPr>
          <w:rFonts w:hint="eastAsia"/>
        </w:rPr>
        <w:instrText xml:space="preserve"> </w:instrText>
      </w:r>
      <w:r>
        <w:instrText xml:space="preserve">PAGEREF _Toc243777545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6CBD3AD">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"_Toc243777546" </w:instrText>
      </w:r>
      <w:r>
        <w:fldChar w:fldCharType="separate"/>
      </w:r>
      <w:r>
        <w:rPr>
          <w:rStyle w:val="137"/>
          <w:rFonts w:hint="eastAsia" w:eastAsia="黑体"/>
        </w:rPr>
        <w:t>2.4 传感接口与机器人平台</w:t>
      </w:r>
      <w:r>
        <w:rPr>
          <w:rFonts w:hint="eastAsia"/>
        </w:rPr>
        <w:tab/>
      </w:r>
      <w:r>
        <w:rPr>
          <w:rFonts w:hint="eastAsia"/>
        </w:rPr>
        <w:fldChar w:fldCharType="begin"/>
      </w:r>
      <w:r>
        <w:rPr>
          <w:rFonts w:hint="eastAsia"/>
        </w:rPr>
        <w:instrText xml:space="preserve"> </w:instrText>
      </w:r>
      <w:r>
        <w:instrText xml:space="preserve">PAGEREF _Toc243777546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4845901">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"_Toc243777547" </w:instrText>
      </w:r>
      <w:r>
        <w:fldChar w:fldCharType="separate"/>
      </w:r>
      <w:r>
        <w:rPr>
          <w:rStyle w:val="137"/>
          <w:rFonts w:hint="eastAsia" w:eastAsia="黑体"/>
        </w:rPr>
        <w:t>3 功能验证与性能分析</w:t>
      </w:r>
      <w:r>
        <w:rPr>
          <w:rFonts w:hint="eastAsia"/>
        </w:rPr>
        <w:tab/>
      </w:r>
      <w:r>
        <w:rPr>
          <w:rFonts w:hint="eastAsia"/>
        </w:rPr>
        <w:fldChar w:fldCharType="begin"/>
      </w:r>
      <w:r>
        <w:rPr>
          <w:rFonts w:hint="eastAsia"/>
        </w:rPr>
        <w:instrText xml:space="preserve"> </w:instrText>
      </w:r>
      <w:r>
        <w:instrText xml:space="preserve">PAGEREF _Toc243777547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4576E4E">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"_Toc243777548" </w:instrText>
      </w:r>
      <w:r>
        <w:fldChar w:fldCharType="separate"/>
      </w:r>
      <w:r>
        <w:rPr>
          <w:rStyle w:val="137"/>
          <w:rFonts w:hint="eastAsia" w:eastAsia="黑体"/>
        </w:rPr>
        <w:t>3.1 图像采集与预处理</w:t>
      </w:r>
      <w:r>
        <w:rPr>
          <w:rFonts w:hint="eastAsia"/>
        </w:rPr>
        <w:tab/>
      </w:r>
      <w:r>
        <w:rPr>
          <w:rFonts w:hint="eastAsia"/>
        </w:rPr>
        <w:fldChar w:fldCharType="begin"/>
      </w:r>
      <w:r>
        <w:rPr>
          <w:rFonts w:hint="eastAsia"/>
        </w:rPr>
        <w:instrText xml:space="preserve"> </w:instrText>
      </w:r>
      <w:r>
        <w:instrText xml:space="preserve">PAGEREF _Toc243777548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792F7263">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"_Toc243777549" </w:instrText>
      </w:r>
      <w:r>
        <w:fldChar w:fldCharType="separate"/>
      </w:r>
      <w:r>
        <w:rPr>
          <w:rStyle w:val="137"/>
          <w:rFonts w:hint="eastAsia" w:eastAsia="黑体"/>
        </w:rPr>
        <w:t>3.2 板上目标检测</w:t>
      </w:r>
      <w:r>
        <w:rPr>
          <w:rFonts w:hint="eastAsia"/>
        </w:rPr>
        <w:tab/>
      </w:r>
      <w:r>
        <w:rPr>
          <w:rFonts w:hint="eastAsia"/>
        </w:rPr>
        <w:fldChar w:fldCharType="begin"/>
      </w:r>
      <w:r>
        <w:rPr>
          <w:rFonts w:hint="eastAsia"/>
        </w:rPr>
        <w:instrText xml:space="preserve"> </w:instrText>
      </w:r>
      <w:r>
        <w:instrText xml:space="preserve">PAGEREF _Toc243777549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2C4427D1">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"_Toc243777550" </w:instrText>
      </w:r>
      <w:r>
        <w:fldChar w:fldCharType="separate"/>
      </w:r>
      <w:r>
        <w:rPr>
          <w:rStyle w:val="137"/>
          <w:rFonts w:hint="eastAsia" w:eastAsia="黑体"/>
        </w:rPr>
        <w:t>3.3 辅助得分与机器人演示</w:t>
      </w:r>
      <w:r>
        <w:rPr>
          <w:rFonts w:hint="eastAsia"/>
        </w:rPr>
        <w:tab/>
      </w:r>
      <w:r>
        <w:rPr>
          <w:rFonts w:hint="eastAsia"/>
        </w:rPr>
        <w:fldChar w:fldCharType="begin"/>
      </w:r>
      <w:r>
        <w:rPr>
          <w:rFonts w:hint="eastAsia"/>
        </w:rPr>
        <w:instrText xml:space="preserve"> </w:instrText>
      </w:r>
      <w:r>
        <w:instrText xml:space="preserve">PAGEREF _Toc243777550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DB84D79">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"_Toc243777551" </w:instrText>
      </w:r>
      <w:r>
        <w:fldChar w:fldCharType="separate"/>
      </w:r>
      <w:r>
        <w:rPr>
          <w:rStyle w:val="137"/>
          <w:rFonts w:hint="eastAsia" w:eastAsia="黑体"/>
        </w:rPr>
        <w:t>3.4 资源 时序与功耗</w:t>
      </w:r>
      <w:r>
        <w:rPr>
          <w:rFonts w:hint="eastAsia"/>
        </w:rPr>
        <w:tab/>
      </w:r>
      <w:r>
        <w:rPr>
          <w:rFonts w:hint="eastAsia"/>
        </w:rPr>
        <w:fldChar w:fldCharType="begin"/>
      </w:r>
      <w:r>
        <w:rPr>
          <w:rFonts w:hint="eastAsia"/>
        </w:rPr>
        <w:instrText xml:space="preserve"> </w:instrText>
      </w:r>
      <w:r>
        <w:instrText xml:space="preserve">PAGEREF _Toc243777551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280FEEA">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"_Toc243777552" </w:instrText>
      </w:r>
      <w:r>
        <w:fldChar w:fldCharType="separate"/>
      </w:r>
      <w:r>
        <w:rPr>
          <w:rStyle w:val="137"/>
          <w:rFonts w:hint="eastAsia" w:eastAsia="黑体"/>
        </w:rPr>
        <w:t>3.5 实验结果的综合讨论</w:t>
      </w:r>
      <w:r>
        <w:rPr>
          <w:rFonts w:hint="eastAsia"/>
        </w:rPr>
        <w:tab/>
      </w:r>
      <w:r>
        <w:rPr>
          <w:rFonts w:hint="eastAsia"/>
        </w:rPr>
        <w:fldChar w:fldCharType="begin"/>
      </w:r>
      <w:r>
        <w:rPr>
          <w:rFonts w:hint="eastAsia"/>
        </w:rPr>
        <w:instrText xml:space="preserve"> </w:instrText>
      </w:r>
      <w:r>
        <w:instrText xml:space="preserve">PAGEREF _Toc243777552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9C01653">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"_Toc243777553" </w:instrText>
      </w:r>
      <w:r>
        <w:fldChar w:fldCharType="separate"/>
      </w:r>
      <w:r>
        <w:rPr>
          <w:rStyle w:val="137"/>
          <w:rFonts w:hint="eastAsia" w:eastAsia="黑体"/>
        </w:rPr>
        <w:t>4 总结与后续研究</w:t>
      </w:r>
      <w:r>
        <w:rPr>
          <w:rFonts w:hint="eastAsia"/>
        </w:rPr>
        <w:tab/>
      </w:r>
      <w:r>
        <w:rPr>
          <w:rFonts w:hint="eastAsia"/>
        </w:rPr>
        <w:fldChar w:fldCharType="begin"/>
      </w:r>
      <w:r>
        <w:rPr>
          <w:rFonts w:hint="eastAsia"/>
        </w:rPr>
        <w:instrText xml:space="preserve"> </w:instrText>
      </w:r>
      <w:r>
        <w:instrText xml:space="preserve">PAGEREF _Toc243777553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9253448">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"_Toc243777554" </w:instrText>
      </w:r>
      <w:r>
        <w:fldChar w:fldCharType="separate"/>
      </w:r>
      <w:r>
        <w:rPr>
          <w:rStyle w:val="137"/>
          <w:rFonts w:hint="eastAsia" w:eastAsia="黑体"/>
        </w:rPr>
        <w:t>4.1 当前工作总结</w:t>
      </w:r>
      <w:r>
        <w:rPr>
          <w:rFonts w:hint="eastAsia"/>
        </w:rPr>
        <w:tab/>
      </w:r>
      <w:r>
        <w:rPr>
          <w:rFonts w:hint="eastAsia"/>
        </w:rPr>
        <w:fldChar w:fldCharType="begin"/>
      </w:r>
      <w:r>
        <w:rPr>
          <w:rFonts w:hint="eastAsia"/>
        </w:rPr>
        <w:instrText xml:space="preserve"> </w:instrText>
      </w:r>
      <w:r>
        <w:instrText xml:space="preserve">PAGEREF _Toc243777554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353AEF6">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"_Toc243777555" </w:instrText>
      </w:r>
      <w:r>
        <w:fldChar w:fldCharType="separate"/>
      </w:r>
      <w:r>
        <w:rPr>
          <w:rStyle w:val="137"/>
          <w:rFonts w:hint="eastAsia" w:eastAsia="黑体"/>
        </w:rPr>
        <w:t>4.2 后续研究方向</w:t>
      </w:r>
      <w:r>
        <w:rPr>
          <w:rFonts w:hint="eastAsia"/>
        </w:rPr>
        <w:tab/>
      </w:r>
      <w:r>
        <w:rPr>
          <w:rFonts w:hint="eastAsia"/>
        </w:rPr>
        <w:fldChar w:fldCharType="begin"/>
      </w:r>
      <w:r>
        <w:rPr>
          <w:rFonts w:hint="eastAsia"/>
        </w:rPr>
        <w:instrText xml:space="preserve"> </w:instrText>
      </w:r>
      <w:r>
        <w:instrText xml:space="preserve">PAGEREF _Toc243777555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C6BD022">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"_Toc243777556" </w:instrText>
      </w:r>
      <w:r>
        <w:fldChar w:fldCharType="separate"/>
      </w:r>
      <w:r>
        <w:rPr>
          <w:rStyle w:val="137"/>
          <w:rFonts w:hint="eastAsia" w:eastAsia="黑体"/>
        </w:rPr>
        <w:t>4.3 工程复现与验证安排</w:t>
      </w:r>
      <w:r>
        <w:rPr>
          <w:rFonts w:hint="eastAsia"/>
        </w:rPr>
        <w:tab/>
      </w:r>
      <w:r>
        <w:rPr>
          <w:rFonts w:hint="eastAsia"/>
        </w:rPr>
        <w:fldChar w:fldCharType="begin"/>
      </w:r>
      <w:r>
        <w:rPr>
          <w:rFonts w:hint="eastAsia"/>
        </w:rPr>
        <w:instrText xml:space="preserve"> </w:instrText>
      </w:r>
      <w:r>
        <w:instrText xml:space="preserve">PAGEREF _Toc243777556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2F1C8E1B">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"_Toc243777557" </w:instrText>
      </w:r>
      <w:r>
        <w:fldChar w:fldCharType="separate"/>
      </w:r>
      <w:r>
        <w:rPr>
          <w:rStyle w:val="137"/>
          <w:rFonts w:hint="eastAsia" w:eastAsia="黑体"/>
        </w:rPr>
        <w:t>4.4 后续实验安排</w:t>
      </w:r>
      <w:r>
        <w:rPr>
          <w:rFonts w:hint="eastAsia"/>
        </w:rPr>
        <w:tab/>
      </w:r>
      <w:r>
        <w:rPr>
          <w:rFonts w:hint="eastAsia"/>
        </w:rPr>
        <w:fldChar w:fldCharType="begin"/>
      </w:r>
      <w:r>
        <w:rPr>
          <w:rFonts w:hint="eastAsia"/>
        </w:rPr>
        <w:instrText xml:space="preserve"> </w:instrText>
      </w:r>
      <w:r>
        <w:instrText xml:space="preserve">PAGEREF _Toc243777557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5846EE8">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"_Toc243777558" </w:instrText>
      </w:r>
      <w:r>
        <w:fldChar w:fldCharType="separate"/>
      </w:r>
      <w:r>
        <w:rPr>
          <w:rStyle w:val="137"/>
          <w:rFonts w:hint="eastAsia" w:eastAsia="黑体"/>
        </w:rPr>
        <w:t>参考文献</w:t>
      </w:r>
      <w:r>
        <w:rPr>
          <w:rFonts w:hint="eastAsia"/>
        </w:rPr>
        <w:tab/>
      </w:r>
      <w:r>
        <w:rPr>
          <w:rFonts w:hint="eastAsia"/>
        </w:rPr>
        <w:fldChar w:fldCharType="begin"/>
      </w:r>
      <w:r>
        <w:rPr>
          <w:rFonts w:hint="eastAsia"/>
        </w:rPr>
        <w:instrText xml:space="preserve"> </w:instrText>
      </w:r>
      <w:r>
        <w:instrText xml:space="preserve">PAGEREF _Toc243777558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749FB6F6">
      <w:pPr>
        <w:pStyle w:val="26"/>
        <w:tabs>
          <w:tab w:val="right" w:leader="dot" w:pos="9174"/>
        </w:tabs>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"_Toc243777559" </w:instrText>
      </w:r>
      <w:r>
        <w:fldChar w:fldCharType="separate"/>
      </w:r>
      <w:r>
        <w:rPr>
          <w:rStyle w:val="137"/>
          <w:rFonts w:hint="eastAsia" w:eastAsia="黑体"/>
        </w:rPr>
        <w:t>附录 程序与接口设计摘录</w:t>
      </w:r>
      <w:r>
        <w:rPr>
          <w:rFonts w:hint="eastAsia"/>
        </w:rPr>
        <w:tab/>
      </w:r>
      <w:r>
        <w:rPr>
          <w:rFonts w:hint="eastAsia"/>
        </w:rPr>
        <w:fldChar w:fldCharType="begin"/>
      </w:r>
      <w:r>
        <w:rPr>
          <w:rFonts w:hint="eastAsia"/>
        </w:rPr>
        <w:instrText xml:space="preserve"> </w:instrText>
      </w:r>
      <w:r>
        <w:instrText xml:space="preserve">PAGEREF _Toc243777559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E3ADECC">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"_Toc243777560" </w:instrText>
      </w:r>
      <w:r>
        <w:fldChar w:fldCharType="separate"/>
      </w:r>
      <w:r>
        <w:rPr>
          <w:rStyle w:val="137"/>
          <w:rFonts w:hint="eastAsia" w:eastAsia="黑体"/>
        </w:rPr>
        <w:t>A 摄像头采集与图像预处理</w:t>
      </w:r>
      <w:r>
        <w:rPr>
          <w:rFonts w:hint="eastAsia"/>
        </w:rPr>
        <w:tab/>
      </w:r>
      <w:r>
        <w:rPr>
          <w:rFonts w:hint="eastAsia"/>
        </w:rPr>
        <w:fldChar w:fldCharType="begin"/>
      </w:r>
      <w:r>
        <w:rPr>
          <w:rFonts w:hint="eastAsia"/>
        </w:rPr>
        <w:instrText xml:space="preserve"> </w:instrText>
      </w:r>
      <w:r>
        <w:instrText xml:space="preserve">PAGEREF _Toc243777560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3821373">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"_Toc243777561" </w:instrText>
      </w:r>
      <w:r>
        <w:fldChar w:fldCharType="separate"/>
      </w:r>
      <w:r>
        <w:rPr>
          <w:rStyle w:val="137"/>
          <w:rFonts w:hint="eastAsia" w:eastAsia="黑体"/>
        </w:rPr>
        <w:t>B 目标检测程序</w:t>
      </w:r>
      <w:r>
        <w:rPr>
          <w:rFonts w:hint="eastAsia"/>
        </w:rPr>
        <w:tab/>
      </w:r>
      <w:r>
        <w:rPr>
          <w:rFonts w:hint="eastAsia"/>
        </w:rPr>
        <w:fldChar w:fldCharType="begin"/>
      </w:r>
      <w:r>
        <w:rPr>
          <w:rFonts w:hint="eastAsia"/>
        </w:rPr>
        <w:instrText xml:space="preserve"> </w:instrText>
      </w:r>
      <w:r>
        <w:instrText xml:space="preserve">PAGEREF _Toc243777561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030E65D">
      <w:pPr>
        <w:pStyle w:val="29"/>
        <w:tabs>
          <w:tab w:val="right" w:leader="dot" w:pos="9174"/>
        </w:tabs>
        <w:ind w:left="480"/>
        <w:rPr>
          <w:rFonts w:hint="eastAsia" w:asciiTheme="minorHAnsi" w:hAnsiTheme="minorHAnsi" w:eastAsiaTheme="minorEastAsia"/>
          <w:color w:val="auto"/>
          <w:kern w:val="2"/>
          <w:sz w:val="22"/>
          <w:szCs w:val="24"/>
          <w:lang w:eastAsia="zh-CN"/>
          <w14:ligatures w14:val="standardContextual"/>
        </w:rPr>
      </w:pPr>
      <w:r>
        <w:fldChar w:fldCharType="begin"/>
      </w:r>
      <w:r>
        <w:instrText xml:space="preserve"> HYPERLINK \l "_Toc243777562" </w:instrText>
      </w:r>
      <w:r>
        <w:fldChar w:fldCharType="separate"/>
      </w:r>
      <w:r>
        <w:rPr>
          <w:rStyle w:val="137"/>
          <w:rFonts w:hint="eastAsia" w:eastAsia="黑体"/>
        </w:rPr>
        <w:t>C 辅助得分处理程序</w:t>
      </w:r>
      <w:r>
        <w:rPr>
          <w:rFonts w:hint="eastAsia"/>
        </w:rPr>
        <w:tab/>
      </w:r>
      <w:r>
        <w:rPr>
          <w:rFonts w:hint="eastAsia"/>
        </w:rPr>
        <w:fldChar w:fldCharType="begin"/>
      </w:r>
      <w:r>
        <w:rPr>
          <w:rFonts w:hint="eastAsia"/>
        </w:rPr>
        <w:instrText xml:space="preserve"> </w:instrText>
      </w:r>
      <w:r>
        <w:instrText xml:space="preserve">PAGEREF _Toc243777562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6269D51">
      <w:r>
        <w:fldChar w:fldCharType="end"/>
      </w:r>
    </w:p>
    <w:p w14:paraId="026DFF4D">
      <w:pPr>
        <w:sectPr>
          <w:footerReference r:id="rId6" w:type="default"/>
          <w:pgSz w:w="11906" w:h="16838"/>
          <w:pgMar w:top="1247" w:right="1361" w:bottom="1134" w:left="1361" w:header="454" w:footer="454" w:gutter="0"/>
          <w:pgNumType w:fmt="upperRoman" w:start="1"/>
          <w:cols w:space="720" w:num="1"/>
          <w:docGrid w:linePitch="360" w:charSpace="0"/>
        </w:sectPr>
      </w:pPr>
    </w:p>
    <w:p w14:paraId="50E7DC67">
      <w:pPr>
        <w:pStyle w:val="3"/>
      </w:pPr>
      <w:bookmarkStart w:id="0" w:name="_Toc243777537"/>
      <w:r>
        <w:rPr>
          <w:rFonts w:ascii="Times New Roman" w:hAnsi="Times New Roman" w:eastAsia="黑体"/>
        </w:rPr>
        <w:t>1 设计概述</w:t>
      </w:r>
      <w:bookmarkEnd w:id="0"/>
    </w:p>
    <w:p w14:paraId="69FF346F">
      <w:pPr>
        <w:pStyle w:val="4"/>
      </w:pPr>
      <w:bookmarkStart w:id="1" w:name="_Toc243777538"/>
      <w:r>
        <w:rPr>
          <w:rFonts w:ascii="Times New Roman" w:hAnsi="Times New Roman" w:eastAsia="黑体"/>
        </w:rPr>
        <w:t>1.1 应用需求与研究范围</w:t>
      </w:r>
      <w:bookmarkEnd w:id="1"/>
    </w:p>
    <w:p w14:paraId="7E8B6F12">
      <w:pPr>
        <w:ind w:firstLine="482"/>
      </w:pPr>
      <w:r>
        <w:t>导盲领航系统首先需要识别行进路径附近的目标，并将目标相对于机器人运动方向的空间关系转换为可执行的提示信息。视觉检测能够同时提供类别和图像位置，但其输出受光照、遮挡、目标外观以及成像距离影响。超声测距直接反映传感器波束方向上的回波距离，人体存在雷达则提供与人体活动相关的状态信息。三类传感器的观测对象和测量尺度并不相同，因而系统设计的关键在于建立目标关联、空间对应和异常信息处理规则，而不是简单叠加传感器输出。</w:t>
      </w:r>
    </w:p>
    <w:p w14:paraId="46310332">
      <w:pPr>
        <w:ind w:firstLine="482"/>
      </w:pPr>
      <w:r>
        <w:t>考虑到小型移动平台的逻辑资源、片上存储和供电能力有限，本文选用 YOLOv4-tiny 作为基础检测网络[1]，在 Zynq-7020 上划分处理器系统与可编程逻辑的功能边界。研究范围集中在导盲环境感知前端和机器人分项验证，主要考察网络推理的硬件组织方式、辅助传感数据的接口处理以及检测结果向执行机构传递所需的信号条件。连续导航、在线避障和视障用户测试不属于本阶段的已完成内容，而是建立在感知接口稳定之后的后续研究环节。</w:t>
      </w:r>
    </w:p>
    <w:p w14:paraId="6154602A">
      <w:pPr>
        <w:pStyle w:val="4"/>
      </w:pPr>
      <w:bookmarkStart w:id="2" w:name="_Toc243777539"/>
      <w:r>
        <w:rPr>
          <w:rFonts w:ascii="Times New Roman" w:hAnsi="Times New Roman" w:eastAsia="黑体"/>
        </w:rPr>
        <w:t>1.2 系统设计目标</w:t>
      </w:r>
      <w:bookmarkEnd w:id="2"/>
    </w:p>
    <w:p w14:paraId="7CFA24A3">
      <w:pPr>
        <w:ind w:firstLine="482"/>
      </w:pPr>
      <w:r>
        <w:t>系统设计目标可分为计算、感知和验证三个层面。计算层以可复用算子实现网络前向推理，通过片上缓冲和调度机制组织数据流，降低不同网络层重复配置硬件的代价。感知层输出目标框、类别、视觉得分以及传感器状态，并保持各支路的物理含义可追溯。验证层结合板上日志、内部逻辑波形和机器人实物动作，对输入、计算、接口和输出分别进行检查，从而为后续端到端测试建立模块级基线。</w:t>
      </w:r>
    </w:p>
    <w:p w14:paraId="235C8B4F">
      <w:pPr>
        <w:ind w:firstLine="482"/>
      </w:pPr>
      <w:r>
        <w:t>在导盲任务中，目标检测只是感知链路的起点。系统需要依据目标框与机器人行进方向的关系，进一步判断目标是否位于潜在通行区域，并在需要时结合距离信息生成提示或运动控制量。本项目目前完成了目标与辅助传感信息的获取，以及通过机械臂平台对执行接口进行的独立演示。该阶段的研究重点是保证感知输出具有明确的格式和时间关系，为后续的障碍分类、路径决策和人机交互提供可接入的信号基础。</w:t>
      </w:r>
    </w:p>
    <w:p w14:paraId="3059268C">
      <w:pPr>
        <w:pStyle w:val="4"/>
      </w:pPr>
      <w:bookmarkStart w:id="3" w:name="_Toc243777540"/>
      <w:r>
        <w:rPr>
          <w:rFonts w:ascii="Times New Roman" w:hAnsi="Times New Roman" w:eastAsia="黑体"/>
        </w:rPr>
        <w:t>1.3 设计特色</w:t>
      </w:r>
      <w:bookmarkEnd w:id="3"/>
    </w:p>
    <w:p w14:paraId="6728A252">
      <w:pPr>
        <w:ind w:firstLine="482"/>
      </w:pPr>
      <w:r>
        <w:t>算子与资源组织方面，依据 YOLOv4-tiny 的层配置对卷积、池化、激活和上采样操作进行统一封装，并由处理器按照网络拓扑顺序完成层间调度。该组织方式使同一类计算结构可以服务于多个网络层，同时把计算并行度、片上存储需求和数据搬运开销纳入同一设计约束。</w:t>
      </w:r>
    </w:p>
    <w:p w14:paraId="1CE81F59">
      <w:pPr>
        <w:ind w:firstLine="482"/>
      </w:pPr>
      <w:r>
        <w:t>辅助信息接入方面，将视觉检测结果、超声测距特征和人体存在状态置于同一后处理流程中，并以固定权重形成融合得分。固定权重便于在硬件中实现和逐项检查，但其适用性取决于传感器与目标的空间对应、数据有效性和类别条件。因而，本文将融合结果作为工程实现的输出进行分析，不将单个样例的分数变化解释为总体识别性能的提升。</w:t>
      </w:r>
    </w:p>
    <w:p w14:paraId="100760F7">
      <w:pPr>
        <w:ind w:firstLine="482"/>
      </w:pPr>
      <w:r>
        <w:t>机器人验证方面，以轮式底盘和六自由度舵机机械臂承载传感器及执行机构，分别展示检测计算、辅助信息处理和抓取转移动作。实物演示用于验证接口连接和动作链路是否能够产生可观察输出；若要评价导盲应用，还需要在统一时间轴上记录感知结果、提示信号、运动响应和人工干预情况。</w:t>
      </w:r>
    </w:p>
    <w:p w14:paraId="061FB016">
      <w:pPr>
        <w:pStyle w:val="4"/>
      </w:pPr>
      <w:bookmarkStart w:id="4" w:name="_Toc243777541"/>
      <w:r>
        <w:rPr>
          <w:rFonts w:ascii="Times New Roman" w:hAnsi="Times New Roman" w:eastAsia="黑体"/>
        </w:rPr>
        <w:t>1.4 技术路线与评价重点</w:t>
      </w:r>
      <w:bookmarkEnd w:id="4"/>
    </w:p>
    <w:p w14:paraId="08B2F2FE">
      <w:pPr>
        <w:ind w:firstLine="482"/>
      </w:pPr>
      <w:r>
        <w:t>技术路线由数据输入、硬件计算、信息融合和分项验证四个环节组成。首先将采集图像转换为网络输入格式，随后由处理器调度可编程逻辑中的算子完成前向计算，再对输出执行解码、非极大值抑制和辅助信息处理。评价时分别考察程序计时、器件资源、接口波形和实物动作，先确认数据路径与模块功能，再在输入、时钟、权重和统计口径一致的条件下开展系统级比较。</w:t>
      </w:r>
    </w:p>
    <w:p w14:paraId="5420BA30">
      <w:pPr>
        <w:pStyle w:val="3"/>
        <w:pageBreakBefore/>
      </w:pPr>
      <w:bookmarkStart w:id="5" w:name="_Toc243777542"/>
      <w:r>
        <w:rPr>
          <w:rFonts w:ascii="Times New Roman" w:hAnsi="Times New Roman" w:eastAsia="黑体"/>
        </w:rPr>
        <w:t>2 系统组成与实现</w:t>
      </w:r>
      <w:bookmarkEnd w:id="5"/>
    </w:p>
    <w:p w14:paraId="06939AF5">
      <w:pPr>
        <w:pStyle w:val="4"/>
      </w:pPr>
      <w:bookmarkStart w:id="6" w:name="_Toc243777543"/>
      <w:r>
        <w:rPr>
          <w:rFonts w:ascii="Times New Roman" w:hAnsi="Times New Roman" w:eastAsia="黑体"/>
        </w:rPr>
        <w:t>2.1 软硬件分工与数据流</w:t>
      </w:r>
      <w:bookmarkEnd w:id="6"/>
    </w:p>
    <w:p w14:paraId="67AC6279">
      <w:pPr>
        <w:ind w:firstLine="482"/>
      </w:pPr>
      <w:r>
        <w:t>目标计算器件为 AMD Zynq-7000 系列 xc7z020clg400-1。器件由双核 ARM Cortex-A9 处理系统（PS）和可编程逻辑（PL）组成。PS 负责输入文件和模型权重读取、网络层调度以及检测结果整理；PL 承担卷积、池化、激活、上采样等重复计算，并接收超声、雷达等接口信号。通过存储与控制接口连接两部分，可将顺序控制和密集并行计算分离，同时保留对数据布局及执行状态的统一管理。</w:t>
      </w:r>
    </w:p>
    <w:p w14:paraId="5B4AA202">
      <w:pPr>
        <w:pStyle w:val="15"/>
        <w:keepNext/>
        <w:jc w:val="center"/>
      </w:pPr>
      <w:r>
        <w:rPr>
          <w:b w:val="0"/>
        </w:rPr>
        <w:t>表2-1 处理系统与可编程逻辑的功能分工</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711"/>
        <w:gridCol w:w="3423"/>
        <w:gridCol w:w="4050"/>
      </w:tblGrid>
      <w:tr w14:paraId="2266CF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711" w:type="dxa"/>
            <w:shd w:val="clear" w:color="auto" w:fill="E7EDF3"/>
            <w:vAlign w:val="center"/>
          </w:tcPr>
          <w:p w14:paraId="59360FB3">
            <w:pPr>
              <w:keepNext/>
              <w:spacing w:after="0" w:line="276" w:lineRule="auto"/>
              <w:jc w:val="center"/>
            </w:pPr>
            <w:r>
              <w:rPr>
                <w:b/>
                <w:sz w:val="21"/>
              </w:rPr>
              <w:t>处理层</w:t>
            </w:r>
          </w:p>
        </w:tc>
        <w:tc>
          <w:tcPr>
            <w:tcW w:w="3423" w:type="dxa"/>
            <w:shd w:val="clear" w:color="auto" w:fill="E7EDF3"/>
            <w:vAlign w:val="center"/>
          </w:tcPr>
          <w:p w14:paraId="0A05323A">
            <w:pPr>
              <w:keepNext/>
              <w:spacing w:after="0" w:line="276" w:lineRule="auto"/>
              <w:jc w:val="center"/>
            </w:pPr>
            <w:r>
              <w:rPr>
                <w:b/>
                <w:sz w:val="21"/>
              </w:rPr>
              <w:t>主要职责</w:t>
            </w:r>
          </w:p>
        </w:tc>
        <w:tc>
          <w:tcPr>
            <w:tcW w:w="4050" w:type="dxa"/>
            <w:shd w:val="clear" w:color="auto" w:fill="E7EDF3"/>
            <w:vAlign w:val="center"/>
          </w:tcPr>
          <w:p w14:paraId="046499A4">
            <w:pPr>
              <w:keepNext/>
              <w:spacing w:after="0" w:line="276" w:lineRule="auto"/>
              <w:jc w:val="center"/>
            </w:pPr>
            <w:r>
              <w:rPr>
                <w:b/>
                <w:sz w:val="21"/>
              </w:rPr>
              <w:t>输入与输出</w:t>
            </w:r>
          </w:p>
        </w:tc>
      </w:tr>
      <w:tr w14:paraId="11696A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5D2F0C9D">
            <w:pPr>
              <w:keepNext/>
              <w:spacing w:after="0" w:line="276" w:lineRule="auto"/>
              <w:jc w:val="center"/>
            </w:pPr>
            <w:r>
              <w:rPr>
                <w:sz w:val="21"/>
              </w:rPr>
              <w:t>PS处理系统</w:t>
            </w:r>
          </w:p>
        </w:tc>
        <w:tc>
          <w:tcPr>
            <w:tcW w:w="3423" w:type="dxa"/>
            <w:vAlign w:val="center"/>
          </w:tcPr>
          <w:p w14:paraId="7103C257">
            <w:pPr>
              <w:keepNext/>
              <w:spacing w:after="0" w:line="276" w:lineRule="auto"/>
              <w:jc w:val="left"/>
            </w:pPr>
            <w:r>
              <w:rPr>
                <w:sz w:val="21"/>
              </w:rPr>
              <w:t>读取输入与权重，组织网络层调用，整理检测结果</w:t>
            </w:r>
          </w:p>
        </w:tc>
        <w:tc>
          <w:tcPr>
            <w:tcW w:w="4050" w:type="dxa"/>
            <w:vAlign w:val="center"/>
          </w:tcPr>
          <w:p w14:paraId="3843859B">
            <w:pPr>
              <w:keepNext/>
              <w:spacing w:after="0" w:line="276" w:lineRule="auto"/>
              <w:jc w:val="left"/>
            </w:pPr>
            <w:r>
              <w:rPr>
                <w:sz w:val="21"/>
              </w:rPr>
              <w:t>输入文件、配置参数；类别、坐标与得分</w:t>
            </w:r>
          </w:p>
        </w:tc>
      </w:tr>
      <w:tr w14:paraId="7E921C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1434AAA7">
            <w:pPr>
              <w:keepNext/>
              <w:spacing w:after="0" w:line="276" w:lineRule="auto"/>
              <w:jc w:val="center"/>
            </w:pPr>
            <w:r>
              <w:rPr>
                <w:sz w:val="21"/>
              </w:rPr>
              <w:t>PL计算与接口</w:t>
            </w:r>
          </w:p>
        </w:tc>
        <w:tc>
          <w:tcPr>
            <w:tcW w:w="3423" w:type="dxa"/>
            <w:vAlign w:val="center"/>
          </w:tcPr>
          <w:p w14:paraId="43837566">
            <w:pPr>
              <w:keepNext/>
              <w:spacing w:after="0" w:line="276" w:lineRule="auto"/>
              <w:jc w:val="left"/>
            </w:pPr>
            <w:r>
              <w:rPr>
                <w:sz w:val="21"/>
              </w:rPr>
              <w:t>执行算子计算，采集传感信号并产生控制波形</w:t>
            </w:r>
          </w:p>
        </w:tc>
        <w:tc>
          <w:tcPr>
            <w:tcW w:w="4050" w:type="dxa"/>
            <w:vAlign w:val="center"/>
          </w:tcPr>
          <w:p w14:paraId="253BB4C1">
            <w:pPr>
              <w:keepNext/>
              <w:spacing w:after="0" w:line="276" w:lineRule="auto"/>
              <w:jc w:val="left"/>
            </w:pPr>
            <w:r>
              <w:rPr>
                <w:sz w:val="21"/>
              </w:rPr>
              <w:t>特征图、权重或接口信号；计算结果与状态</w:t>
            </w:r>
          </w:p>
        </w:tc>
      </w:tr>
      <w:tr w14:paraId="2B027D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46665E13">
            <w:pPr>
              <w:spacing w:after="0" w:line="276" w:lineRule="auto"/>
              <w:jc w:val="center"/>
            </w:pPr>
            <w:r>
              <w:rPr>
                <w:sz w:val="21"/>
              </w:rPr>
              <w:t>存储与交互</w:t>
            </w:r>
          </w:p>
        </w:tc>
        <w:tc>
          <w:tcPr>
            <w:tcW w:w="3423" w:type="dxa"/>
            <w:vAlign w:val="center"/>
          </w:tcPr>
          <w:p w14:paraId="6033D4D8">
            <w:pPr>
              <w:spacing w:after="0" w:line="276" w:lineRule="auto"/>
              <w:jc w:val="left"/>
            </w:pPr>
            <w:r>
              <w:rPr>
                <w:sz w:val="21"/>
              </w:rPr>
              <w:t>保存输入、中间结果和采样记录，传递配置与数据</w:t>
            </w:r>
          </w:p>
        </w:tc>
        <w:tc>
          <w:tcPr>
            <w:tcW w:w="4050" w:type="dxa"/>
            <w:vAlign w:val="center"/>
          </w:tcPr>
          <w:p w14:paraId="3F79496C">
            <w:pPr>
              <w:spacing w:after="0" w:line="276" w:lineRule="auto"/>
              <w:jc w:val="center"/>
            </w:pPr>
            <w:r>
              <w:rPr>
                <w:sz w:val="21"/>
              </w:rPr>
              <w:t>在处理器、算子和传感模块间交换数据</w:t>
            </w:r>
          </w:p>
        </w:tc>
      </w:tr>
    </w:tbl>
    <w:p w14:paraId="199E9CC5">
      <w:pPr>
        <w:spacing w:after="0"/>
      </w:pPr>
    </w:p>
    <w:p w14:paraId="74F0F4A0">
      <w:pPr>
        <w:ind w:firstLine="482"/>
      </w:pPr>
      <w:r>
        <w:t>这种软硬件分工对应了目标检测程序的两类计算特征。层间控制、参数更新和结果整理具有较强的顺序性，适合由 PS 完成；卷积中的重复乘加、局部缓存和确定的接口时序具有较高的规则性，适合映射到 PL。系统的实际处理时间不仅由算子执行时间决定，还受到数据装载、缓存切换、主机调度和后处理的共同影响。</w:t>
      </w:r>
    </w:p>
    <w:p w14:paraId="5AE58DC4">
      <w:pPr>
        <w:keepNext/>
        <w:spacing w:after="40"/>
        <w:jc w:val="center"/>
      </w:pPr>
      <w:r>
        <w:drawing>
          <wp:inline distT="0" distB="0" distL="0" distR="0">
            <wp:extent cx="4890770" cy="2879725"/>
            <wp:effectExtent l="0" t="0" r="0" b="0"/>
            <wp:docPr id="1" name="Picture 1"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项目原始设计、实验记录或程序摘录"/>
                    <pic:cNvPicPr>
                      <a:picLocks noChangeAspect="1"/>
                    </pic:cNvPicPr>
                  </pic:nvPicPr>
                  <pic:blipFill>
                    <a:blip r:embed="rId9"/>
                    <a:stretch>
                      <a:fillRect/>
                    </a:stretch>
                  </pic:blipFill>
                  <pic:spPr>
                    <a:xfrm>
                      <a:off x="0" y="0"/>
                      <a:ext cx="4891346" cy="2880000"/>
                    </a:xfrm>
                    <a:prstGeom prst="rect">
                      <a:avLst/>
                    </a:prstGeom>
                  </pic:spPr>
                </pic:pic>
              </a:graphicData>
            </a:graphic>
          </wp:inline>
        </w:drawing>
      </w:r>
    </w:p>
    <w:p w14:paraId="337C8AEB">
      <w:pPr>
        <w:pStyle w:val="15"/>
        <w:jc w:val="center"/>
      </w:pPr>
      <w:r>
        <w:rPr>
          <w:b w:val="0"/>
        </w:rPr>
        <w:t>图2-1 目标检测计算工程结构</w:t>
      </w:r>
    </w:p>
    <w:p w14:paraId="4BEA36BB">
      <w:pPr>
        <w:ind w:firstLine="482"/>
      </w:pPr>
      <w:r>
        <w:t>图 2-1 所示结构从输入文件、网络算子到检测输出描述了一次推理的主要数据路径。程序从存储介质读取图像和权重，按网络层顺序调用相应算子完成前向计算，再对输出进行格式转换、检测框解码和后处理。附录 B 给出了主程序及计时代码的对应摘录，以便将图中模块与实际执行区间对应起来。</w:t>
      </w:r>
    </w:p>
    <w:p w14:paraId="73428A35">
      <w:pPr>
        <w:keepNext/>
        <w:spacing w:after="40"/>
        <w:jc w:val="center"/>
      </w:pPr>
      <w:r>
        <w:drawing>
          <wp:inline distT="0" distB="0" distL="0" distR="0">
            <wp:extent cx="4136390" cy="1907540"/>
            <wp:effectExtent l="0" t="0" r="0" b="0"/>
            <wp:docPr id="2" name="Picture 2"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项目原始设计、实验记录或程序摘录"/>
                    <pic:cNvPicPr>
                      <a:picLocks noChangeAspect="1"/>
                    </pic:cNvPicPr>
                  </pic:nvPicPr>
                  <pic:blipFill>
                    <a:blip r:embed="rId10"/>
                    <a:stretch>
                      <a:fillRect/>
                    </a:stretch>
                  </pic:blipFill>
                  <pic:spPr>
                    <a:xfrm>
                      <a:off x="0" y="0"/>
                      <a:ext cx="4136615" cy="1908000"/>
                    </a:xfrm>
                    <a:prstGeom prst="rect">
                      <a:avLst/>
                    </a:prstGeom>
                  </pic:spPr>
                </pic:pic>
              </a:graphicData>
            </a:graphic>
          </wp:inline>
        </w:drawing>
      </w:r>
    </w:p>
    <w:p w14:paraId="5ABD1122">
      <w:pPr>
        <w:pStyle w:val="15"/>
        <w:jc w:val="center"/>
      </w:pPr>
      <w:r>
        <w:rPr>
          <w:b w:val="0"/>
        </w:rPr>
        <w:t>图2-2 摄像头采集与显示工程结构</w:t>
      </w:r>
    </w:p>
    <w:p w14:paraId="22472530">
      <w:pPr>
        <w:ind w:firstLine="482"/>
      </w:pPr>
      <w:r>
        <w:t>图像侧采用 OV5640 摄像头采集并在 LCD 上显示画面。采集结果保存后转换为网络输入格式，再由目标检测程序读取并完成推理。当前资料分别给出了采集显示和单次文件输入推理的验证结果，二者尚未构成连续摄像头输入到提示输出的端到端测量。为获得连续运行指标，还需在统一缓冲策略下记录采集、预处理、推理、显示和提示各阶段的时间。</w:t>
      </w:r>
    </w:p>
    <w:p w14:paraId="1E6A6221">
      <w:pPr>
        <w:ind w:firstLine="482"/>
      </w:pPr>
      <w:r>
        <w:t>检测程序为输入数据分配 3×416×416 的缓冲区，并按照 OUT_CH×13×13 和 OUT_CH×26×26 组织双尺度输出。图像读取和模型权重加载发生在前向计算之前，推理完成后依次进行定点到浮点转换、检测框解码和非极大值抑制。该分段结构便于单独检查每一阶段的输入和输出，但程序中的局部计时不能覆盖完整采集链路，因而不能直接等同于系统端到端响应时间。</w:t>
      </w:r>
    </w:p>
    <w:p w14:paraId="72434E99">
      <w:pPr>
        <w:keepNext/>
        <w:spacing w:after="40"/>
        <w:jc w:val="center"/>
      </w:pPr>
      <w:r>
        <w:drawing>
          <wp:inline distT="0" distB="0" distL="0" distR="0">
            <wp:extent cx="4190365" cy="2339975"/>
            <wp:effectExtent l="0" t="0" r="0" b="0"/>
            <wp:docPr id="3" name="Picture 3"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项目原始设计、实验记录或程序摘录"/>
                    <pic:cNvPicPr>
                      <a:picLocks noChangeAspect="1"/>
                    </pic:cNvPicPr>
                  </pic:nvPicPr>
                  <pic:blipFill>
                    <a:blip r:embed="rId11"/>
                    <a:stretch>
                      <a:fillRect/>
                    </a:stretch>
                  </pic:blipFill>
                  <pic:spPr>
                    <a:xfrm>
                      <a:off x="0" y="0"/>
                      <a:ext cx="4190392" cy="2339999"/>
                    </a:xfrm>
                    <a:prstGeom prst="rect">
                      <a:avLst/>
                    </a:prstGeom>
                  </pic:spPr>
                </pic:pic>
              </a:graphicData>
            </a:graphic>
          </wp:inline>
        </w:drawing>
      </w:r>
    </w:p>
    <w:p w14:paraId="1B2B2FC8">
      <w:pPr>
        <w:pStyle w:val="15"/>
        <w:jc w:val="center"/>
      </w:pPr>
      <w:r>
        <w:rPr>
          <w:b w:val="0"/>
        </w:rPr>
        <w:t>图2-3 传感信息与机器人接口工程结构</w:t>
      </w:r>
    </w:p>
    <w:p w14:paraId="62D4CA38">
      <w:pPr>
        <w:ind w:firstLine="482"/>
      </w:pPr>
      <w:r>
        <w:t>机器人接口工程包括超声采集、串口接收、得分计算、机械臂控制和内部逻辑分析等模块。各模块通过存储与控制接口交换数据，逻辑分析仪用于观测接口活动及状态转移。由于检测计算工程和接口工程可能处于不同开发阶段，板卡配置、工具版本和工程提交应保持对应，才能将各模块的验证结果归入同一系统版本。</w:t>
      </w:r>
    </w:p>
    <w:p w14:paraId="185EB9E3">
      <w:pPr>
        <w:keepNext/>
        <w:jc w:val="center"/>
      </w:pPr>
      <w:r>
        <w:drawing>
          <wp:inline distT="0" distB="0" distL="0" distR="0">
            <wp:extent cx="2546350" cy="2195830"/>
            <wp:effectExtent l="0" t="0" r="0" b="0"/>
            <wp:docPr id="4" name="Picture 4"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项目原始设计、实验记录或程序摘录"/>
                    <pic:cNvPicPr>
                      <a:picLocks noChangeAspect="1"/>
                    </pic:cNvPicPr>
                  </pic:nvPicPr>
                  <pic:blipFill>
                    <a:blip r:embed="rId12"/>
                    <a:stretch>
                      <a:fillRect/>
                    </a:stretch>
                  </pic:blipFill>
                  <pic:spPr>
                    <a:xfrm>
                      <a:off x="0" y="0"/>
                      <a:ext cx="2546980" cy="2196000"/>
                    </a:xfrm>
                    <a:prstGeom prst="rect">
                      <a:avLst/>
                    </a:prstGeom>
                  </pic:spPr>
                </pic:pic>
              </a:graphicData>
            </a:graphic>
          </wp:inline>
        </w:drawing>
      </w:r>
      <w:r>
        <w:t xml:space="preserve">  </w:t>
      </w:r>
      <w:r>
        <w:drawing>
          <wp:inline distT="0" distB="0" distL="0" distR="0">
            <wp:extent cx="2771775" cy="1804670"/>
            <wp:effectExtent l="0" t="0" r="0" b="0"/>
            <wp:docPr id="5" name="Picture 5"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项目原始设计、实验记录或程序摘录"/>
                    <pic:cNvPicPr>
                      <a:picLocks noChangeAspect="1"/>
                    </pic:cNvPicPr>
                  </pic:nvPicPr>
                  <pic:blipFill>
                    <a:blip r:embed="rId13"/>
                    <a:stretch>
                      <a:fillRect/>
                    </a:stretch>
                  </pic:blipFill>
                  <pic:spPr>
                    <a:xfrm>
                      <a:off x="0" y="0"/>
                      <a:ext cx="2772000" cy="1804791"/>
                    </a:xfrm>
                    <a:prstGeom prst="rect">
                      <a:avLst/>
                    </a:prstGeom>
                  </pic:spPr>
                </pic:pic>
              </a:graphicData>
            </a:graphic>
          </wp:inline>
        </w:drawing>
      </w:r>
    </w:p>
    <w:p w14:paraId="050DF064">
      <w:pPr>
        <w:pStyle w:val="15"/>
        <w:jc w:val="center"/>
      </w:pPr>
      <w:r>
        <w:rPr>
          <w:b w:val="0"/>
        </w:rPr>
        <w:t>图2-4 机器人验证平台与总体功能关系</w:t>
      </w:r>
    </w:p>
    <w:p w14:paraId="02CBE547">
      <w:pPr>
        <w:pStyle w:val="4"/>
      </w:pPr>
      <w:bookmarkStart w:id="7" w:name="_Toc243777544"/>
      <w:r>
        <w:rPr>
          <w:rFonts w:ascii="Times New Roman" w:hAnsi="Times New Roman" w:eastAsia="黑体"/>
        </w:rPr>
        <w:t>2.2 FPGA算子加速设计</w:t>
      </w:r>
      <w:bookmarkEnd w:id="7"/>
    </w:p>
    <w:p w14:paraId="63278A11">
      <w:pPr>
        <w:pStyle w:val="5"/>
      </w:pPr>
      <w:r>
        <w:rPr>
          <w:rFonts w:ascii="Times New Roman" w:hAnsi="Times New Roman" w:eastAsia="黑体"/>
        </w:rPr>
        <w:t>2.2.1 算子配置与跨层复用</w:t>
      </w:r>
    </w:p>
    <w:p w14:paraId="7EE88DA2">
      <w:pPr>
        <w:ind w:firstLine="482"/>
      </w:pPr>
      <w:r>
        <w:t>YOLOv4-tiny 在不同网络层中使用了不同的卷积核尺寸、步长和特征图规模。若为每层配置独立的完整计算结构，资源消耗会随层数和并行度快速增加。本文采用可复用算子，由 PS 按网络拓扑组织层间调用，在保持计算结构通用性的同时，通过并行度和缓存容量控制器件开销。</w:t>
      </w:r>
    </w:p>
    <w:p w14:paraId="3A8E806E">
      <w:pPr>
        <w:pStyle w:val="15"/>
        <w:keepNext/>
        <w:jc w:val="center"/>
      </w:pPr>
      <w:r>
        <w:rPr>
          <w:b w:val="0"/>
        </w:rPr>
        <w:t>表2-2 算子类型与网络配置</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711"/>
        <w:gridCol w:w="3023"/>
        <w:gridCol w:w="4450"/>
      </w:tblGrid>
      <w:tr w14:paraId="3E14B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711" w:type="dxa"/>
            <w:shd w:val="clear" w:color="auto" w:fill="E7EDF3"/>
            <w:vAlign w:val="center"/>
          </w:tcPr>
          <w:p w14:paraId="07E1CA1D">
            <w:pPr>
              <w:keepNext/>
              <w:spacing w:after="0" w:line="276" w:lineRule="auto"/>
              <w:jc w:val="center"/>
            </w:pPr>
            <w:r>
              <w:rPr>
                <w:b/>
                <w:sz w:val="21"/>
              </w:rPr>
              <w:t>算子</w:t>
            </w:r>
          </w:p>
        </w:tc>
        <w:tc>
          <w:tcPr>
            <w:tcW w:w="3023" w:type="dxa"/>
            <w:shd w:val="clear" w:color="auto" w:fill="E7EDF3"/>
            <w:vAlign w:val="center"/>
          </w:tcPr>
          <w:p w14:paraId="7C137F51">
            <w:pPr>
              <w:keepNext/>
              <w:spacing w:after="0" w:line="276" w:lineRule="auto"/>
              <w:jc w:val="center"/>
            </w:pPr>
            <w:r>
              <w:rPr>
                <w:b/>
                <w:sz w:val="21"/>
              </w:rPr>
              <w:t>配置与用途</w:t>
            </w:r>
          </w:p>
        </w:tc>
        <w:tc>
          <w:tcPr>
            <w:tcW w:w="4450" w:type="dxa"/>
            <w:shd w:val="clear" w:color="auto" w:fill="E7EDF3"/>
            <w:vAlign w:val="center"/>
          </w:tcPr>
          <w:p w14:paraId="13083CE4">
            <w:pPr>
              <w:keepNext/>
              <w:spacing w:after="0" w:line="276" w:lineRule="auto"/>
              <w:jc w:val="center"/>
            </w:pPr>
            <w:r>
              <w:rPr>
                <w:b/>
                <w:sz w:val="21"/>
              </w:rPr>
              <w:t>实现组织</w:t>
            </w:r>
          </w:p>
        </w:tc>
      </w:tr>
      <w:tr w14:paraId="350471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3AD8F85E">
            <w:pPr>
              <w:keepNext/>
              <w:spacing w:after="0" w:line="276" w:lineRule="auto"/>
              <w:jc w:val="center"/>
            </w:pPr>
            <w:r>
              <w:rPr>
                <w:sz w:val="21"/>
              </w:rPr>
              <w:t>标准卷积</w:t>
            </w:r>
          </w:p>
        </w:tc>
        <w:tc>
          <w:tcPr>
            <w:tcW w:w="3023" w:type="dxa"/>
            <w:vAlign w:val="center"/>
          </w:tcPr>
          <w:p w14:paraId="30BD1447">
            <w:pPr>
              <w:keepNext/>
              <w:spacing w:after="0" w:line="276" w:lineRule="auto"/>
              <w:jc w:val="center"/>
            </w:pPr>
            <w:r>
              <w:rPr>
                <w:sz w:val="21"/>
              </w:rPr>
              <w:t>K3 P1 S2；K3 P1 S1</w:t>
            </w:r>
          </w:p>
        </w:tc>
        <w:tc>
          <w:tcPr>
            <w:tcW w:w="4450" w:type="dxa"/>
            <w:vAlign w:val="center"/>
          </w:tcPr>
          <w:p w14:paraId="60BFB15F">
            <w:pPr>
              <w:keepNext/>
              <w:spacing w:after="0" w:line="276" w:lineRule="auto"/>
              <w:jc w:val="left"/>
            </w:pPr>
            <w:r>
              <w:rPr>
                <w:sz w:val="21"/>
              </w:rPr>
              <w:t>支持步长为2的降采样与步长为1的特征提取</w:t>
            </w:r>
          </w:p>
        </w:tc>
      </w:tr>
      <w:tr w14:paraId="208279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06866CCD">
            <w:pPr>
              <w:keepNext/>
              <w:spacing w:after="0" w:line="276" w:lineRule="auto"/>
              <w:jc w:val="center"/>
            </w:pPr>
            <w:r>
              <w:rPr>
                <w:sz w:val="21"/>
              </w:rPr>
              <w:t>逐点卷积</w:t>
            </w:r>
          </w:p>
        </w:tc>
        <w:tc>
          <w:tcPr>
            <w:tcW w:w="3023" w:type="dxa"/>
            <w:vAlign w:val="center"/>
          </w:tcPr>
          <w:p w14:paraId="6E0897C3">
            <w:pPr>
              <w:keepNext/>
              <w:spacing w:after="0" w:line="276" w:lineRule="auto"/>
              <w:jc w:val="center"/>
            </w:pPr>
            <w:r>
              <w:rPr>
                <w:sz w:val="21"/>
              </w:rPr>
              <w:t>K1 P0 S1</w:t>
            </w:r>
          </w:p>
        </w:tc>
        <w:tc>
          <w:tcPr>
            <w:tcW w:w="4450" w:type="dxa"/>
            <w:vAlign w:val="center"/>
          </w:tcPr>
          <w:p w14:paraId="5AB302E2">
            <w:pPr>
              <w:keepNext/>
              <w:spacing w:after="0" w:line="276" w:lineRule="auto"/>
              <w:jc w:val="center"/>
            </w:pPr>
            <w:r>
              <w:rPr>
                <w:sz w:val="21"/>
              </w:rPr>
              <w:t>调整通道数，保持空间尺寸</w:t>
            </w:r>
          </w:p>
        </w:tc>
      </w:tr>
      <w:tr w14:paraId="0C1F6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48796F4A">
            <w:pPr>
              <w:keepNext/>
              <w:spacing w:after="0" w:line="276" w:lineRule="auto"/>
              <w:jc w:val="center"/>
            </w:pPr>
            <w:r>
              <w:rPr>
                <w:sz w:val="21"/>
              </w:rPr>
              <w:t>最大池化</w:t>
            </w:r>
          </w:p>
        </w:tc>
        <w:tc>
          <w:tcPr>
            <w:tcW w:w="3023" w:type="dxa"/>
            <w:vAlign w:val="center"/>
          </w:tcPr>
          <w:p w14:paraId="75AF4D29">
            <w:pPr>
              <w:keepNext/>
              <w:spacing w:after="0" w:line="276" w:lineRule="auto"/>
              <w:jc w:val="center"/>
            </w:pPr>
            <w:r>
              <w:rPr>
                <w:sz w:val="21"/>
              </w:rPr>
              <w:t>K2 P0 S2</w:t>
            </w:r>
          </w:p>
        </w:tc>
        <w:tc>
          <w:tcPr>
            <w:tcW w:w="4450" w:type="dxa"/>
            <w:vAlign w:val="center"/>
          </w:tcPr>
          <w:p w14:paraId="61301195">
            <w:pPr>
              <w:keepNext/>
              <w:spacing w:after="0" w:line="276" w:lineRule="auto"/>
              <w:jc w:val="center"/>
            </w:pPr>
            <w:r>
              <w:rPr>
                <w:sz w:val="21"/>
              </w:rPr>
              <w:t>对局部区域取最大值，完成空间降采样</w:t>
            </w:r>
          </w:p>
        </w:tc>
      </w:tr>
      <w:tr w14:paraId="404A8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2C8C8FC3">
            <w:pPr>
              <w:keepNext/>
              <w:spacing w:after="0" w:line="276" w:lineRule="auto"/>
              <w:jc w:val="center"/>
            </w:pPr>
            <w:r>
              <w:rPr>
                <w:sz w:val="21"/>
              </w:rPr>
              <w:t>LeakyReLU</w:t>
            </w:r>
          </w:p>
        </w:tc>
        <w:tc>
          <w:tcPr>
            <w:tcW w:w="3023" w:type="dxa"/>
            <w:vAlign w:val="center"/>
          </w:tcPr>
          <w:p w14:paraId="2774083A">
            <w:pPr>
              <w:keepNext/>
              <w:spacing w:after="0" w:line="276" w:lineRule="auto"/>
              <w:jc w:val="center"/>
            </w:pPr>
            <w:r>
              <w:rPr>
                <w:sz w:val="21"/>
              </w:rPr>
              <w:t>分段线性激活</w:t>
            </w:r>
          </w:p>
        </w:tc>
        <w:tc>
          <w:tcPr>
            <w:tcW w:w="4450" w:type="dxa"/>
            <w:vAlign w:val="center"/>
          </w:tcPr>
          <w:p w14:paraId="296C717D">
            <w:pPr>
              <w:keepNext/>
              <w:spacing w:after="0" w:line="276" w:lineRule="auto"/>
              <w:jc w:val="center"/>
            </w:pPr>
            <w:r>
              <w:rPr>
                <w:sz w:val="21"/>
              </w:rPr>
              <w:t>按网络设定处理正负输入</w:t>
            </w:r>
          </w:p>
        </w:tc>
      </w:tr>
      <w:tr w14:paraId="3EEC7B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11" w:type="dxa"/>
            <w:vAlign w:val="center"/>
          </w:tcPr>
          <w:p w14:paraId="066DEEE5">
            <w:pPr>
              <w:spacing w:after="0" w:line="276" w:lineRule="auto"/>
              <w:jc w:val="center"/>
            </w:pPr>
            <w:r>
              <w:rPr>
                <w:sz w:val="21"/>
              </w:rPr>
              <w:t>上采样</w:t>
            </w:r>
          </w:p>
        </w:tc>
        <w:tc>
          <w:tcPr>
            <w:tcW w:w="3023" w:type="dxa"/>
            <w:vAlign w:val="center"/>
          </w:tcPr>
          <w:p w14:paraId="42728E4C">
            <w:pPr>
              <w:spacing w:after="0" w:line="276" w:lineRule="auto"/>
              <w:jc w:val="center"/>
            </w:pPr>
            <w:r>
              <w:rPr>
                <w:sz w:val="21"/>
              </w:rPr>
              <w:t>最近邻插值，倍率2</w:t>
            </w:r>
          </w:p>
        </w:tc>
        <w:tc>
          <w:tcPr>
            <w:tcW w:w="4450" w:type="dxa"/>
            <w:vAlign w:val="center"/>
          </w:tcPr>
          <w:p w14:paraId="3FC9E1E9">
            <w:pPr>
              <w:spacing w:after="0" w:line="276" w:lineRule="auto"/>
              <w:jc w:val="center"/>
            </w:pPr>
            <w:r>
              <w:rPr>
                <w:sz w:val="21"/>
              </w:rPr>
              <w:t>扩大特征图空间尺寸</w:t>
            </w:r>
          </w:p>
        </w:tc>
      </w:tr>
    </w:tbl>
    <w:p w14:paraId="114A4E11">
      <w:pPr>
        <w:spacing w:after="0"/>
      </w:pPr>
    </w:p>
    <w:p w14:paraId="6AA1ABFA">
      <w:pPr>
        <w:ind w:firstLine="482"/>
      </w:pPr>
      <w:r>
        <w:t>设卷积核边长为 K，输入通道数和输出通道数分别为 C_in、C_out，输出特征图尺寸为 H_out×W_out，则一次卷积层的乘加次数可表示为 K²·C_in·C_out·H_out·W_out。该表达式说明，通道数和空间尺寸共同决定计算量，卷积层因此成为 FPGA 加速中最需要进行并行化和数据复用设计的部分。</w:t>
      </w:r>
    </w:p>
    <w:p w14:paraId="574F92CD">
      <w:pPr>
        <w:spacing w:before="100" w:after="140"/>
        <w:jc w:val="center"/>
      </w:pPr>
      <m:oMathPara>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MAC</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out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out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out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in</m:t>
              </m:r>
              <m:ctrlPr>
                <w:rPr>
                  <w:rFonts w:ascii="Cambria Math" w:hAnsi="Cambria Math"/>
                </w:rPr>
              </m:ctrlPr>
            </m:sub>
          </m:sSub>
          <m:r>
            <m:rPr/>
            <w:rPr>
              <w:rFonts w:ascii="Cambria Math" w:hAnsi="Cambria Math"/>
            </w:rPr>
            <m:t xml:space="preserve"> × K²</m:t>
          </m:r>
        </m:oMath>
      </m:oMathPara>
    </w:p>
    <w:p w14:paraId="22BF9B6A">
      <w:pPr>
        <w:ind w:firstLine="482"/>
      </w:pPr>
      <w:r>
        <w:t>在输入输出通道数及空间尺寸相同的条件下，1×1 卷积的单输出乘加次数为 3×3 卷积的九分之一。这一结论只描述卷积结构的理论计算量，不意味着系统能够获得九倍加速。实际运行还会受到片上存储访问、外部数据搬运、算子启动和后处理时间的影响，因而需要以完整程序的实测结果评价优化效果。</w:t>
      </w:r>
    </w:p>
    <w:p w14:paraId="2BB9FC4A">
      <w:pPr>
        <w:ind w:firstLine="482"/>
      </w:pPr>
      <w:r>
        <w:t>按网络中出现的卷积配置进行归类，当前设计包含六类可复用算子实现。算子复用减少了为不同网络层重复配置硬件的需要，也引入了层参数更新、数据布局转换和调度等待等额外开销。系统级性能评价应同时统计算子执行、存储访问和后处理时间，不能用单个算子的时钟估计替代整机处理速度。</w:t>
      </w:r>
    </w:p>
    <w:p w14:paraId="19106100">
      <w:pPr>
        <w:keepNext/>
        <w:spacing w:after="40"/>
        <w:jc w:val="center"/>
      </w:pPr>
      <w:r>
        <w:drawing>
          <wp:inline distT="0" distB="0" distL="0" distR="0">
            <wp:extent cx="4488815" cy="2447925"/>
            <wp:effectExtent l="0" t="0" r="0" b="0"/>
            <wp:docPr id="6" name="Picture 6"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项目原始设计、实验记录或程序摘录"/>
                    <pic:cNvPicPr>
                      <a:picLocks noChangeAspect="1"/>
                    </pic:cNvPicPr>
                  </pic:nvPicPr>
                  <pic:blipFill>
                    <a:blip r:embed="rId14"/>
                    <a:stretch>
                      <a:fillRect/>
                    </a:stretch>
                  </pic:blipFill>
                  <pic:spPr>
                    <a:xfrm>
                      <a:off x="0" y="0"/>
                      <a:ext cx="4489232" cy="2448000"/>
                    </a:xfrm>
                    <a:prstGeom prst="rect">
                      <a:avLst/>
                    </a:prstGeom>
                  </pic:spPr>
                </pic:pic>
              </a:graphicData>
            </a:graphic>
          </wp:inline>
        </w:drawing>
      </w:r>
    </w:p>
    <w:p w14:paraId="246606BB">
      <w:pPr>
        <w:pStyle w:val="15"/>
        <w:jc w:val="center"/>
      </w:pPr>
      <w:r>
        <w:rPr>
          <w:b w:val="0"/>
        </w:rPr>
        <w:t>图2-5 卷积算子配置关系</w:t>
      </w:r>
    </w:p>
    <w:p w14:paraId="791D0394">
      <w:pPr>
        <w:pStyle w:val="5"/>
      </w:pPr>
      <w:r>
        <w:rPr>
          <w:rFonts w:ascii="Times New Roman" w:hAnsi="Times New Roman" w:eastAsia="黑体"/>
        </w:rPr>
        <w:t>2.2.2 数据缓冲与计算调度</w:t>
      </w:r>
    </w:p>
    <w:p w14:paraId="691F4830">
      <w:pPr>
        <w:ind w:firstLine="482"/>
      </w:pPr>
      <w:r>
        <w:t>双缓冲通过两个交替使用的存储区域组织数据加载与计算。当缓冲区 A 的数据参与当前层计算时，缓冲区 B 可以准备下一组输入；计算完成后交换两者角色。该结构的目的在于使数据搬运与计算在时间上部分重叠，但重叠程度取决于传输带宽、计算时长、缓冲容量以及访问冲突情况。</w:t>
      </w:r>
    </w:p>
    <w:p w14:paraId="70214A5A">
      <w:pPr>
        <w:pStyle w:val="15"/>
        <w:keepNext/>
        <w:jc w:val="center"/>
      </w:pPr>
      <w:r>
        <w:rPr>
          <w:b w:val="0"/>
        </w:rPr>
        <w:t>表2-3 双缓冲交替调度示意</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2339"/>
        <w:gridCol w:w="3423"/>
        <w:gridCol w:w="3423"/>
      </w:tblGrid>
      <w:tr w14:paraId="1180AE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2339" w:type="dxa"/>
            <w:shd w:val="clear" w:color="auto" w:fill="E7EDF3"/>
            <w:vAlign w:val="center"/>
          </w:tcPr>
          <w:p w14:paraId="482E54A2">
            <w:pPr>
              <w:keepNext/>
              <w:spacing w:after="0" w:line="276" w:lineRule="auto"/>
              <w:jc w:val="center"/>
            </w:pPr>
            <w:r>
              <w:rPr>
                <w:b/>
                <w:sz w:val="21"/>
              </w:rPr>
              <w:t>阶段</w:t>
            </w:r>
          </w:p>
        </w:tc>
        <w:tc>
          <w:tcPr>
            <w:tcW w:w="3423" w:type="dxa"/>
            <w:shd w:val="clear" w:color="auto" w:fill="E7EDF3"/>
            <w:vAlign w:val="center"/>
          </w:tcPr>
          <w:p w14:paraId="3471A118">
            <w:pPr>
              <w:keepNext/>
              <w:spacing w:after="0" w:line="276" w:lineRule="auto"/>
              <w:jc w:val="center"/>
            </w:pPr>
            <w:r>
              <w:rPr>
                <w:b/>
                <w:sz w:val="21"/>
              </w:rPr>
              <w:t>缓冲区A</w:t>
            </w:r>
          </w:p>
        </w:tc>
        <w:tc>
          <w:tcPr>
            <w:tcW w:w="3423" w:type="dxa"/>
            <w:shd w:val="clear" w:color="auto" w:fill="E7EDF3"/>
            <w:vAlign w:val="center"/>
          </w:tcPr>
          <w:p w14:paraId="063DF22F">
            <w:pPr>
              <w:keepNext/>
              <w:spacing w:after="0" w:line="276" w:lineRule="auto"/>
              <w:jc w:val="center"/>
            </w:pPr>
            <w:r>
              <w:rPr>
                <w:b/>
                <w:sz w:val="21"/>
              </w:rPr>
              <w:t>缓冲区B</w:t>
            </w:r>
          </w:p>
        </w:tc>
      </w:tr>
      <w:tr w14:paraId="28CCE6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339" w:type="dxa"/>
            <w:vAlign w:val="center"/>
          </w:tcPr>
          <w:p w14:paraId="10A3B154">
            <w:pPr>
              <w:keepNext/>
              <w:spacing w:after="0" w:line="276" w:lineRule="auto"/>
              <w:jc w:val="center"/>
            </w:pPr>
            <w:r>
              <w:rPr>
                <w:sz w:val="21"/>
              </w:rPr>
              <w:t>初始准备</w:t>
            </w:r>
          </w:p>
        </w:tc>
        <w:tc>
          <w:tcPr>
            <w:tcW w:w="3423" w:type="dxa"/>
            <w:vAlign w:val="center"/>
          </w:tcPr>
          <w:p w14:paraId="72D6987D">
            <w:pPr>
              <w:keepNext/>
              <w:spacing w:after="0" w:line="276" w:lineRule="auto"/>
              <w:jc w:val="center"/>
            </w:pPr>
            <w:r>
              <w:rPr>
                <w:sz w:val="21"/>
              </w:rPr>
              <w:t>加载首组输入</w:t>
            </w:r>
          </w:p>
        </w:tc>
        <w:tc>
          <w:tcPr>
            <w:tcW w:w="3423" w:type="dxa"/>
            <w:vAlign w:val="center"/>
          </w:tcPr>
          <w:p w14:paraId="2DA4DD5C">
            <w:pPr>
              <w:keepNext/>
              <w:spacing w:after="0" w:line="276" w:lineRule="auto"/>
              <w:jc w:val="center"/>
            </w:pPr>
            <w:r>
              <w:rPr>
                <w:sz w:val="21"/>
              </w:rPr>
              <w:t>等待</w:t>
            </w:r>
          </w:p>
        </w:tc>
      </w:tr>
      <w:tr w14:paraId="424CD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339" w:type="dxa"/>
            <w:vAlign w:val="center"/>
          </w:tcPr>
          <w:p w14:paraId="57AAA25B">
            <w:pPr>
              <w:keepNext/>
              <w:spacing w:after="0" w:line="276" w:lineRule="auto"/>
              <w:jc w:val="center"/>
            </w:pPr>
            <w:r>
              <w:rPr>
                <w:sz w:val="21"/>
              </w:rPr>
              <w:t>稳定处理之一</w:t>
            </w:r>
          </w:p>
        </w:tc>
        <w:tc>
          <w:tcPr>
            <w:tcW w:w="3423" w:type="dxa"/>
            <w:vAlign w:val="center"/>
          </w:tcPr>
          <w:p w14:paraId="48236D3A">
            <w:pPr>
              <w:keepNext/>
              <w:spacing w:after="0" w:line="276" w:lineRule="auto"/>
              <w:jc w:val="center"/>
            </w:pPr>
            <w:r>
              <w:rPr>
                <w:sz w:val="21"/>
              </w:rPr>
              <w:t>参与当前计算</w:t>
            </w:r>
          </w:p>
        </w:tc>
        <w:tc>
          <w:tcPr>
            <w:tcW w:w="3423" w:type="dxa"/>
            <w:vAlign w:val="center"/>
          </w:tcPr>
          <w:p w14:paraId="122220B1">
            <w:pPr>
              <w:keepNext/>
              <w:spacing w:after="0" w:line="276" w:lineRule="auto"/>
              <w:jc w:val="center"/>
            </w:pPr>
            <w:r>
              <w:rPr>
                <w:sz w:val="21"/>
              </w:rPr>
              <w:t>加载下一组输入</w:t>
            </w:r>
          </w:p>
        </w:tc>
      </w:tr>
      <w:tr w14:paraId="218712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339" w:type="dxa"/>
            <w:vAlign w:val="center"/>
          </w:tcPr>
          <w:p w14:paraId="1928FA85">
            <w:pPr>
              <w:spacing w:after="0" w:line="276" w:lineRule="auto"/>
              <w:jc w:val="center"/>
            </w:pPr>
            <w:r>
              <w:rPr>
                <w:sz w:val="21"/>
              </w:rPr>
              <w:t>稳定处理之二</w:t>
            </w:r>
          </w:p>
        </w:tc>
        <w:tc>
          <w:tcPr>
            <w:tcW w:w="3423" w:type="dxa"/>
            <w:vAlign w:val="center"/>
          </w:tcPr>
          <w:p w14:paraId="541F7E6E">
            <w:pPr>
              <w:spacing w:after="0" w:line="276" w:lineRule="auto"/>
              <w:jc w:val="center"/>
            </w:pPr>
            <w:r>
              <w:rPr>
                <w:sz w:val="21"/>
              </w:rPr>
              <w:t>加载后续输入</w:t>
            </w:r>
          </w:p>
        </w:tc>
        <w:tc>
          <w:tcPr>
            <w:tcW w:w="3423" w:type="dxa"/>
            <w:vAlign w:val="center"/>
          </w:tcPr>
          <w:p w14:paraId="5742320D">
            <w:pPr>
              <w:spacing w:after="0" w:line="276" w:lineRule="auto"/>
              <w:jc w:val="center"/>
            </w:pPr>
            <w:r>
              <w:rPr>
                <w:sz w:val="21"/>
              </w:rPr>
              <w:t>参与当前计算</w:t>
            </w:r>
          </w:p>
        </w:tc>
      </w:tr>
    </w:tbl>
    <w:p w14:paraId="55E6935B">
      <w:pPr>
        <w:spacing w:after="0"/>
      </w:pPr>
    </w:p>
    <w:p w14:paraId="09AFFAD4">
      <w:pPr>
        <w:ind w:firstLine="482"/>
      </w:pPr>
      <w:r>
        <w:t>表 2-3 给出了双缓冲的基本时序关系。只有在加载和计算能够由相互独立的通道推进，且读写不会覆盖活动数据时，二者才可能形成稳定重叠。系统启动、末尾收尾和缓冲切换仍会产生额外开销，因此双缓冲的收益应通过相同输入、时钟和工程版本下的对照计时确认。</w:t>
      </w:r>
    </w:p>
    <w:p w14:paraId="3F3658A7">
      <w:pPr>
        <w:ind w:firstLine="482"/>
      </w:pPr>
      <w:r>
        <w:t>在当前设计中，标准卷积和逐点卷积承担主要乘加计算，最大池化和上采样负责特征图尺寸变化，LeakyReLU 完成逐元素非线性变换。每一类算子都必须明确输入输出形状、数据类型和存储布局，并与网络层配置保持一致，否则即使单个计算模块的数值正确，层间数据传递也可能产生偏差。</w:t>
      </w:r>
    </w:p>
    <w:p w14:paraId="22F3DD01">
      <w:pPr>
        <w:pStyle w:val="5"/>
      </w:pPr>
      <w:r>
        <w:rPr>
          <w:rFonts w:ascii="Times New Roman" w:hAnsi="Times New Roman" w:eastAsia="黑体"/>
        </w:rPr>
        <w:t>2.2.3 计算量与数据搬运分析</w:t>
      </w:r>
    </w:p>
    <w:p w14:paraId="00723D25">
      <w:pPr>
        <w:ind w:firstLine="482"/>
      </w:pPr>
      <w:r>
        <w:t>设一组输入的加载时间为 T_load，计算时间为 T_compute。顺序执行时，单组数据的处理时间近似为 T_load+T_compute；在忽略启动、输出传输和缓冲切换开销的理想稳态下，双缓冲的节拍受两者较大值限制。该关系用于说明流水化调度的设计依据，实际加速效果仍需通过分段计时和总时间测量确定。</w:t>
      </w:r>
    </w:p>
    <w:p w14:paraId="39A05662">
      <w:pPr>
        <w:spacing w:before="100" w:after="14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sequential</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load</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compute</m:t>
              </m:r>
              <m:ctrlPr>
                <w:rPr>
                  <w:rFonts w:ascii="Cambria Math" w:hAnsi="Cambria Math"/>
                </w:rPr>
              </m:ctrlPr>
            </m:sub>
          </m:sSub>
        </m:oMath>
      </m:oMathPara>
    </w:p>
    <w:p w14:paraId="571ED24E">
      <w:pPr>
        <w:spacing w:before="100" w:after="140"/>
        <w:jc w:val="cente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overlap</m:t>
              </m:r>
              <m:ctrlPr>
                <w:rPr>
                  <w:rFonts w:ascii="Cambria Math" w:hAnsi="Cambria Math"/>
                </w:rPr>
              </m:ctrlPr>
            </m:sub>
          </m:sSub>
          <m:r>
            <m:rPr/>
            <w:rPr>
              <w:rFonts w:ascii="Cambria Math" w:hAnsi="Cambria Math"/>
            </w:rPr>
            <m:t xml:space="preserve"> ≈ max(</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load</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compute</m:t>
              </m:r>
              <m:ctrlPr>
                <w:rPr>
                  <w:rFonts w:ascii="Cambria Math" w:hAnsi="Cambria Math"/>
                </w:rPr>
              </m:ctrlPr>
            </m:sub>
          </m:sSub>
          <m:r>
            <m:rPr/>
            <w:rPr>
              <w:rFonts w:ascii="Cambria Math" w:hAnsi="Cambria Math"/>
            </w:rPr>
            <m:t>)</m:t>
          </m:r>
        </m:oMath>
      </m:oMathPara>
    </w:p>
    <w:p w14:paraId="5476E46F">
      <w:pPr>
        <w:ind w:firstLine="482"/>
      </w:pPr>
      <w:r>
        <w:t>当数据加载时间明显长于计算时间时，继续增加计算并行度并不能有效改善整体处理节拍；当计算时间占主导时，缓冲重叠主要用于减少数据等待。因而，工程优化应同时记录计算、搬运和同步时间，并结合缓存容量与访问带宽判断瓶颈来源。</w:t>
      </w:r>
    </w:p>
    <w:p w14:paraId="702657F4">
      <w:pPr>
        <w:pStyle w:val="5"/>
      </w:pPr>
      <w:r>
        <w:rPr>
          <w:rFonts w:ascii="Times New Roman" w:hAnsi="Times New Roman" w:eastAsia="黑体"/>
        </w:rPr>
        <w:t>2.2.4 缓存与接口一致性</w:t>
      </w:r>
    </w:p>
    <w:p w14:paraId="0A091F7C">
      <w:pPr>
        <w:ind w:firstLine="482"/>
      </w:pPr>
      <w:r>
        <w:t>算子复用后，不同网络层会以不同的特征图尺寸和通道数访问同一计算模块。调度过程必须同步更新输入地址、输出地址和层参数，并在计算完成后再将结果交给下一层。若输出布局、通道顺序或定点格式不一致，即使单个算子的乘加结果正确，也会在后续层累积为检测结果异常。</w:t>
      </w:r>
    </w:p>
    <w:p w14:paraId="1B0984A2">
      <w:pPr>
        <w:ind w:firstLine="482"/>
      </w:pPr>
      <w:r>
        <w:t>双缓冲还要求读写双方始终使用不同的活动区域，并在数据装载完成和当前计算完成两个条件满足后交换角色。片上存储容量决定一次能够缓存的数据规模，外部存储带宽决定后续数据补充速度，因而缓存深度、并行度和数据布局应联合设计，不能分别独立确定。</w:t>
      </w:r>
    </w:p>
    <w:p w14:paraId="5731F140">
      <w:pPr>
        <w:pStyle w:val="4"/>
      </w:pPr>
      <w:bookmarkStart w:id="8" w:name="_Toc243777545"/>
      <w:r>
        <w:rPr>
          <w:rFonts w:ascii="Times New Roman" w:hAnsi="Times New Roman" w:eastAsia="黑体"/>
        </w:rPr>
        <w:t>2.3 多传感器辅助得分处理</w:t>
      </w:r>
      <w:bookmarkEnd w:id="8"/>
    </w:p>
    <w:p w14:paraId="3200F925">
      <w:pPr>
        <w:pStyle w:val="5"/>
      </w:pPr>
      <w:r>
        <w:rPr>
          <w:rFonts w:ascii="Times New Roman" w:hAnsi="Times New Roman" w:eastAsia="黑体"/>
        </w:rPr>
        <w:t>2.3.1 辅助信息的物理含义</w:t>
      </w:r>
    </w:p>
    <w:p w14:paraId="6A62D290">
      <w:pPr>
        <w:ind w:firstLine="482"/>
      </w:pPr>
      <w:r>
        <w:t>辅助感知在视觉检测输出之后引入额外观测，用于补充目标的距离、状态或几何特征。视觉支路提供候选框、类别和视觉得分；超声支路提供特定测量方向上的回波距离及由此计算的几何量；雷达支路提供人体存在或活动状态。由于三类信息的观测对象不同，融合前必须明确目标对应关系、空间覆盖范围和数据有效性。</w:t>
      </w:r>
    </w:p>
    <w:p w14:paraId="6C34BB25">
      <w:pPr>
        <w:keepNext/>
        <w:spacing w:after="40"/>
        <w:jc w:val="center"/>
      </w:pPr>
      <w:r>
        <w:drawing>
          <wp:inline distT="0" distB="0" distL="0" distR="0">
            <wp:extent cx="5831840" cy="1706880"/>
            <wp:effectExtent l="0" t="0" r="0" b="0"/>
            <wp:docPr id="7" name="Picture 7"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项目原始设计、实验记录或程序摘录"/>
                    <pic:cNvPicPr>
                      <a:picLocks noChangeAspect="1"/>
                    </pic:cNvPicPr>
                  </pic:nvPicPr>
                  <pic:blipFill>
                    <a:blip r:embed="rId15"/>
                    <a:stretch>
                      <a:fillRect/>
                    </a:stretch>
                  </pic:blipFill>
                  <pic:spPr>
                    <a:xfrm>
                      <a:off x="0" y="0"/>
                      <a:ext cx="5832000" cy="1707365"/>
                    </a:xfrm>
                    <a:prstGeom prst="rect">
                      <a:avLst/>
                    </a:prstGeom>
                  </pic:spPr>
                </pic:pic>
              </a:graphicData>
            </a:graphic>
          </wp:inline>
        </w:drawing>
      </w:r>
    </w:p>
    <w:p w14:paraId="3DFC7CAB">
      <w:pPr>
        <w:pStyle w:val="15"/>
        <w:jc w:val="center"/>
      </w:pPr>
      <w:r>
        <w:rPr>
          <w:b w:val="0"/>
        </w:rPr>
        <w:t>图2-6 辅助传感信息与检测输出的处理流程</w:t>
      </w:r>
    </w:p>
    <w:p w14:paraId="1A477A46">
      <w:pPr>
        <w:pStyle w:val="15"/>
        <w:keepNext/>
        <w:jc w:val="center"/>
      </w:pPr>
      <w:r>
        <w:rPr>
          <w:b w:val="0"/>
        </w:rPr>
        <w:t>表2-4 各传感器的信息含义与使用条件</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768"/>
        <w:gridCol w:w="3080"/>
        <w:gridCol w:w="4335"/>
      </w:tblGrid>
      <w:tr w14:paraId="1B5B68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768" w:type="dxa"/>
            <w:shd w:val="clear" w:color="auto" w:fill="E7EDF3"/>
            <w:vAlign w:val="center"/>
          </w:tcPr>
          <w:p w14:paraId="432A9437">
            <w:pPr>
              <w:keepNext/>
              <w:spacing w:after="0" w:line="276" w:lineRule="auto"/>
              <w:jc w:val="center"/>
            </w:pPr>
            <w:r>
              <w:rPr>
                <w:b/>
                <w:sz w:val="21"/>
              </w:rPr>
              <w:t>信息来源</w:t>
            </w:r>
          </w:p>
        </w:tc>
        <w:tc>
          <w:tcPr>
            <w:tcW w:w="3080" w:type="dxa"/>
            <w:shd w:val="clear" w:color="auto" w:fill="E7EDF3"/>
            <w:vAlign w:val="center"/>
          </w:tcPr>
          <w:p w14:paraId="5384D214">
            <w:pPr>
              <w:keepNext/>
              <w:spacing w:after="0" w:line="276" w:lineRule="auto"/>
              <w:jc w:val="center"/>
            </w:pPr>
            <w:r>
              <w:rPr>
                <w:b/>
                <w:sz w:val="21"/>
              </w:rPr>
              <w:t>直接提供的信息</w:t>
            </w:r>
          </w:p>
        </w:tc>
        <w:tc>
          <w:tcPr>
            <w:tcW w:w="4335" w:type="dxa"/>
            <w:shd w:val="clear" w:color="auto" w:fill="E7EDF3"/>
            <w:vAlign w:val="center"/>
          </w:tcPr>
          <w:p w14:paraId="297C29C6">
            <w:pPr>
              <w:keepNext/>
              <w:spacing w:after="0" w:line="276" w:lineRule="auto"/>
              <w:jc w:val="center"/>
            </w:pPr>
            <w:r>
              <w:rPr>
                <w:b/>
                <w:sz w:val="21"/>
              </w:rPr>
              <w:t>使用条件</w:t>
            </w:r>
          </w:p>
        </w:tc>
      </w:tr>
      <w:tr w14:paraId="51F78B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68" w:type="dxa"/>
            <w:vAlign w:val="center"/>
          </w:tcPr>
          <w:p w14:paraId="1CD6DC58">
            <w:pPr>
              <w:keepNext/>
              <w:spacing w:after="0" w:line="276" w:lineRule="auto"/>
              <w:jc w:val="center"/>
            </w:pPr>
            <w:r>
              <w:rPr>
                <w:sz w:val="21"/>
              </w:rPr>
              <w:t>摄像头与检测网络</w:t>
            </w:r>
          </w:p>
        </w:tc>
        <w:tc>
          <w:tcPr>
            <w:tcW w:w="3080" w:type="dxa"/>
            <w:vAlign w:val="center"/>
          </w:tcPr>
          <w:p w14:paraId="79CFE52C">
            <w:pPr>
              <w:keepNext/>
              <w:spacing w:after="0" w:line="276" w:lineRule="auto"/>
              <w:jc w:val="center"/>
            </w:pPr>
            <w:r>
              <w:rPr>
                <w:sz w:val="21"/>
              </w:rPr>
              <w:t>目标类别、图像位置、视觉得分</w:t>
            </w:r>
          </w:p>
        </w:tc>
        <w:tc>
          <w:tcPr>
            <w:tcW w:w="4335" w:type="dxa"/>
            <w:vAlign w:val="center"/>
          </w:tcPr>
          <w:p w14:paraId="3797B495">
            <w:pPr>
              <w:keepNext/>
              <w:spacing w:after="0" w:line="276" w:lineRule="auto"/>
              <w:jc w:val="center"/>
            </w:pPr>
            <w:r>
              <w:rPr>
                <w:sz w:val="21"/>
              </w:rPr>
              <w:t>检测结果受图像质量和训练分布影响</w:t>
            </w:r>
          </w:p>
        </w:tc>
      </w:tr>
      <w:tr w14:paraId="756697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68" w:type="dxa"/>
            <w:vAlign w:val="center"/>
          </w:tcPr>
          <w:p w14:paraId="20B633A2">
            <w:pPr>
              <w:keepNext/>
              <w:spacing w:after="0" w:line="276" w:lineRule="auto"/>
              <w:jc w:val="center"/>
            </w:pPr>
            <w:r>
              <w:rPr>
                <w:sz w:val="21"/>
              </w:rPr>
              <w:t>超声测距</w:t>
            </w:r>
          </w:p>
        </w:tc>
        <w:tc>
          <w:tcPr>
            <w:tcW w:w="3080" w:type="dxa"/>
            <w:vAlign w:val="center"/>
          </w:tcPr>
          <w:p w14:paraId="08E781C8">
            <w:pPr>
              <w:keepNext/>
              <w:spacing w:after="0" w:line="276" w:lineRule="auto"/>
              <w:jc w:val="center"/>
            </w:pPr>
            <w:r>
              <w:rPr>
                <w:sz w:val="21"/>
              </w:rPr>
              <w:t>传感器测量方向上的回波距离</w:t>
            </w:r>
          </w:p>
        </w:tc>
        <w:tc>
          <w:tcPr>
            <w:tcW w:w="4335" w:type="dxa"/>
            <w:vAlign w:val="center"/>
          </w:tcPr>
          <w:p w14:paraId="346A846A">
            <w:pPr>
              <w:keepNext/>
              <w:spacing w:after="0" w:line="276" w:lineRule="auto"/>
              <w:jc w:val="left"/>
            </w:pPr>
            <w:r>
              <w:rPr>
                <w:sz w:val="21"/>
              </w:rPr>
              <w:t>与图像目标对应后，才可用于该目标的几何描述</w:t>
            </w:r>
          </w:p>
        </w:tc>
      </w:tr>
      <w:tr w14:paraId="03331E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768" w:type="dxa"/>
            <w:vAlign w:val="center"/>
          </w:tcPr>
          <w:p w14:paraId="7BC24374">
            <w:pPr>
              <w:spacing w:after="0" w:line="276" w:lineRule="auto"/>
              <w:jc w:val="center"/>
            </w:pPr>
            <w:r>
              <w:rPr>
                <w:sz w:val="21"/>
              </w:rPr>
              <w:t>人体存在雷达</w:t>
            </w:r>
          </w:p>
        </w:tc>
        <w:tc>
          <w:tcPr>
            <w:tcW w:w="3080" w:type="dxa"/>
            <w:vAlign w:val="center"/>
          </w:tcPr>
          <w:p w14:paraId="66A2BCA3">
            <w:pPr>
              <w:spacing w:after="0" w:line="276" w:lineRule="auto"/>
              <w:jc w:val="center"/>
            </w:pPr>
            <w:r>
              <w:rPr>
                <w:sz w:val="21"/>
              </w:rPr>
              <w:t>人体存在或活动相关状态</w:t>
            </w:r>
          </w:p>
        </w:tc>
        <w:tc>
          <w:tcPr>
            <w:tcW w:w="4335" w:type="dxa"/>
            <w:vAlign w:val="center"/>
          </w:tcPr>
          <w:p w14:paraId="0C2BB107">
            <w:pPr>
              <w:spacing w:after="0" w:line="276" w:lineRule="auto"/>
              <w:jc w:val="left"/>
            </w:pPr>
            <w:r>
              <w:rPr>
                <w:sz w:val="21"/>
              </w:rPr>
              <w:t>作为相应状态的辅助信息，不能统一提升任意物体类别的可信度</w:t>
            </w:r>
          </w:p>
        </w:tc>
      </w:tr>
    </w:tbl>
    <w:p w14:paraId="5B13CD21">
      <w:pPr>
        <w:spacing w:after="0"/>
      </w:pPr>
    </w:p>
    <w:p w14:paraId="21B15BFC">
      <w:pPr>
        <w:ind w:firstLine="482"/>
      </w:pPr>
      <w:r>
        <w:t>超声扫描按照不同方向记录距离，原设计进一步计算水平与垂直不平整度、尺寸和体积相关量。这些几何量不仅取决于回波值，还受到扫描几何、传感器安装姿态、目标对应和标定参数影响。因而，几何量首先可作为处理链路中的中间变量进行检查，若要将其解释为目标尺寸或表面特征，则必须以已知尺寸和已知姿态的参照物开展独立标定。</w:t>
      </w:r>
    </w:p>
    <w:p w14:paraId="2C2299BB">
      <w:pPr>
        <w:pStyle w:val="5"/>
      </w:pPr>
      <w:r>
        <w:rPr>
          <w:rFonts w:ascii="Times New Roman" w:hAnsi="Times New Roman" w:eastAsia="黑体"/>
        </w:rPr>
        <w:t>2.3.2 固定权重与输出定义</w:t>
      </w:r>
    </w:p>
    <w:p w14:paraId="467063D7">
      <w:pPr>
        <w:ind w:firstLine="482"/>
      </w:pPr>
      <w:r>
        <w:t>原方案设置视觉权重 85%、人体存在或活动信息权重 5%、超声相关特征合计 10%。该配置为固定参数，不随单次输入的数据质量变化。尺寸、不平整度等子项先分别形成辅助得分，再与视觉得分组合。为保证计算含义一致，各子项需采用明确的归一化范围、数值格式和异常值处理规则。</w:t>
      </w:r>
    </w:p>
    <w:p w14:paraId="60B2FED4">
      <w:pPr>
        <w:pStyle w:val="15"/>
        <w:keepNext/>
        <w:jc w:val="center"/>
      </w:pPr>
      <w:r>
        <w:rPr>
          <w:b w:val="0"/>
        </w:rPr>
        <w:t>表2-5 固定权重配置</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2966"/>
        <w:gridCol w:w="1711"/>
        <w:gridCol w:w="4507"/>
      </w:tblGrid>
      <w:tr w14:paraId="63866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2966" w:type="dxa"/>
            <w:shd w:val="clear" w:color="auto" w:fill="E7EDF3"/>
            <w:vAlign w:val="center"/>
          </w:tcPr>
          <w:p w14:paraId="4DE6EF0B">
            <w:pPr>
              <w:keepNext/>
              <w:spacing w:after="0" w:line="276" w:lineRule="auto"/>
              <w:jc w:val="center"/>
            </w:pPr>
            <w:r>
              <w:rPr>
                <w:b/>
                <w:sz w:val="21"/>
              </w:rPr>
              <w:t>支路</w:t>
            </w:r>
          </w:p>
        </w:tc>
        <w:tc>
          <w:tcPr>
            <w:tcW w:w="1711" w:type="dxa"/>
            <w:shd w:val="clear" w:color="auto" w:fill="E7EDF3"/>
            <w:vAlign w:val="center"/>
          </w:tcPr>
          <w:p w14:paraId="2F6D65A5">
            <w:pPr>
              <w:keepNext/>
              <w:spacing w:after="0" w:line="276" w:lineRule="auto"/>
              <w:jc w:val="center"/>
            </w:pPr>
            <w:r>
              <w:rPr>
                <w:b/>
                <w:sz w:val="21"/>
              </w:rPr>
              <w:t>总体权重</w:t>
            </w:r>
          </w:p>
        </w:tc>
        <w:tc>
          <w:tcPr>
            <w:tcW w:w="4507" w:type="dxa"/>
            <w:shd w:val="clear" w:color="auto" w:fill="E7EDF3"/>
            <w:vAlign w:val="center"/>
          </w:tcPr>
          <w:p w14:paraId="12E12CF5">
            <w:pPr>
              <w:keepNext/>
              <w:spacing w:after="0" w:line="276" w:lineRule="auto"/>
              <w:jc w:val="center"/>
            </w:pPr>
            <w:r>
              <w:rPr>
                <w:b/>
                <w:sz w:val="21"/>
              </w:rPr>
              <w:t>说明</w:t>
            </w:r>
          </w:p>
        </w:tc>
      </w:tr>
      <w:tr w14:paraId="5F5465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966" w:type="dxa"/>
            <w:vAlign w:val="center"/>
          </w:tcPr>
          <w:p w14:paraId="363BACAD">
            <w:pPr>
              <w:keepNext/>
              <w:spacing w:after="0" w:line="276" w:lineRule="auto"/>
              <w:jc w:val="center"/>
            </w:pPr>
            <w:r>
              <w:rPr>
                <w:sz w:val="21"/>
              </w:rPr>
              <w:t>视觉检测</w:t>
            </w:r>
          </w:p>
        </w:tc>
        <w:tc>
          <w:tcPr>
            <w:tcW w:w="1711" w:type="dxa"/>
            <w:vAlign w:val="center"/>
          </w:tcPr>
          <w:p w14:paraId="2A5C3307">
            <w:pPr>
              <w:keepNext/>
              <w:spacing w:after="0" w:line="276" w:lineRule="auto"/>
              <w:jc w:val="center"/>
            </w:pPr>
            <w:r>
              <w:rPr>
                <w:sz w:val="21"/>
              </w:rPr>
              <w:t>85%</w:t>
            </w:r>
          </w:p>
        </w:tc>
        <w:tc>
          <w:tcPr>
            <w:tcW w:w="4507" w:type="dxa"/>
            <w:vAlign w:val="center"/>
          </w:tcPr>
          <w:p w14:paraId="2E1E66A4">
            <w:pPr>
              <w:keepNext/>
              <w:spacing w:after="0" w:line="276" w:lineRule="auto"/>
              <w:jc w:val="center"/>
            </w:pPr>
            <w:r>
              <w:rPr>
                <w:sz w:val="21"/>
              </w:rPr>
              <w:t>以网络输出为主要得分来源</w:t>
            </w:r>
          </w:p>
        </w:tc>
      </w:tr>
      <w:tr w14:paraId="2E83AB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966" w:type="dxa"/>
            <w:vAlign w:val="center"/>
          </w:tcPr>
          <w:p w14:paraId="43D68EA9">
            <w:pPr>
              <w:keepNext/>
              <w:spacing w:after="0" w:line="276" w:lineRule="auto"/>
              <w:jc w:val="center"/>
            </w:pPr>
            <w:r>
              <w:rPr>
                <w:sz w:val="21"/>
              </w:rPr>
              <w:t>人体存在或活动信息</w:t>
            </w:r>
          </w:p>
        </w:tc>
        <w:tc>
          <w:tcPr>
            <w:tcW w:w="1711" w:type="dxa"/>
            <w:vAlign w:val="center"/>
          </w:tcPr>
          <w:p w14:paraId="192BBC45">
            <w:pPr>
              <w:keepNext/>
              <w:spacing w:after="0" w:line="276" w:lineRule="auto"/>
              <w:jc w:val="center"/>
            </w:pPr>
            <w:r>
              <w:rPr>
                <w:sz w:val="21"/>
              </w:rPr>
              <w:t>5%</w:t>
            </w:r>
          </w:p>
        </w:tc>
        <w:tc>
          <w:tcPr>
            <w:tcW w:w="4507" w:type="dxa"/>
            <w:vAlign w:val="center"/>
          </w:tcPr>
          <w:p w14:paraId="3DE2527F">
            <w:pPr>
              <w:keepNext/>
              <w:spacing w:after="0" w:line="276" w:lineRule="auto"/>
              <w:jc w:val="center"/>
            </w:pPr>
            <w:r>
              <w:rPr>
                <w:sz w:val="21"/>
              </w:rPr>
              <w:t>原方案配置的辅助项</w:t>
            </w:r>
          </w:p>
        </w:tc>
      </w:tr>
      <w:tr w14:paraId="375C0A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966" w:type="dxa"/>
            <w:vAlign w:val="center"/>
          </w:tcPr>
          <w:p w14:paraId="0C49C8EB">
            <w:pPr>
              <w:spacing w:after="0" w:line="276" w:lineRule="auto"/>
              <w:jc w:val="center"/>
            </w:pPr>
            <w:r>
              <w:rPr>
                <w:sz w:val="21"/>
              </w:rPr>
              <w:t>超声相关几何信息</w:t>
            </w:r>
          </w:p>
        </w:tc>
        <w:tc>
          <w:tcPr>
            <w:tcW w:w="1711" w:type="dxa"/>
            <w:vAlign w:val="center"/>
          </w:tcPr>
          <w:p w14:paraId="05AD995F">
            <w:pPr>
              <w:spacing w:after="0" w:line="276" w:lineRule="auto"/>
              <w:jc w:val="center"/>
            </w:pPr>
            <w:r>
              <w:rPr>
                <w:sz w:val="21"/>
              </w:rPr>
              <w:t>10%</w:t>
            </w:r>
          </w:p>
        </w:tc>
        <w:tc>
          <w:tcPr>
            <w:tcW w:w="4507" w:type="dxa"/>
            <w:vAlign w:val="center"/>
          </w:tcPr>
          <w:p w14:paraId="6FE17540">
            <w:pPr>
              <w:spacing w:after="0" w:line="276" w:lineRule="auto"/>
              <w:jc w:val="center"/>
            </w:pPr>
            <w:r>
              <w:rPr>
                <w:sz w:val="21"/>
              </w:rPr>
              <w:t>尺寸及表面起伏等子项合计</w:t>
            </w:r>
          </w:p>
        </w:tc>
      </w:tr>
    </w:tbl>
    <w:p w14:paraId="6114E37A">
      <w:pPr>
        <w:spacing w:after="0"/>
      </w:pPr>
    </w:p>
    <w:p w14:paraId="7967B1F5">
      <w:pPr>
        <w:ind w:firstLine="482"/>
      </w:pPr>
      <w:r>
        <w:t>令 s_v、s_r 和 s_u 分别表示完成统一范围归一化后的视觉、雷达和超声辅助得分，则原方案的总体权重关系可写为 s=0.85s_v+0.05s_r+0.10s_u。式中 s_u 汇总超声相关几何子项。该表达式仅描述固定权重的计算结构，不能替代对各子项取值范围、定点缩放和硬件实现的逐项核对。</w:t>
      </w:r>
    </w:p>
    <w:p w14:paraId="1A2300C3">
      <w:pPr>
        <w:spacing w:before="100" w:after="140"/>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 xml:space="preserve"> = 0.85</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v</m:t>
              </m:r>
              <m:ctrlPr>
                <w:rPr>
                  <w:rFonts w:ascii="Cambria Math" w:hAnsi="Cambria Math"/>
                </w:rPr>
              </m:ctrlPr>
            </m:sub>
          </m:sSub>
          <m:r>
            <m:rPr/>
            <w:rPr>
              <w:rFonts w:ascii="Cambria Math" w:hAnsi="Cambria Math"/>
            </w:rPr>
            <m:t xml:space="preserve"> + 0.05</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r</m:t>
              </m:r>
              <m:ctrlPr>
                <w:rPr>
                  <w:rFonts w:ascii="Cambria Math" w:hAnsi="Cambria Math"/>
                </w:rPr>
              </m:ctrlPr>
            </m:sub>
          </m:sSub>
          <m:r>
            <m:rPr/>
            <w:rPr>
              <w:rFonts w:ascii="Cambria Math" w:hAnsi="Cambria Math"/>
            </w:rPr>
            <m:t xml:space="preserve"> + 0.10</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m:t>
              </m:r>
              <m:ctrlPr>
                <w:rPr>
                  <w:rFonts w:ascii="Cambria Math" w:hAnsi="Cambria Math"/>
                </w:rPr>
              </m:ctrlPr>
            </m:sub>
          </m:sSub>
        </m:oMath>
      </m:oMathPara>
    </w:p>
    <w:p w14:paraId="4BE0FCF3">
      <w:pPr>
        <w:ind w:firstLine="482"/>
      </w:pPr>
      <w:r>
        <w:t>原配置将超声相关的 10% 分配为尺寸得分 5%、水平起伏得分 2.5% 和垂直起伏得分 2.5%。分项配置便于追踪每类信息对最终结果的贡献，也使异常输入能够定位到具体子项。实际应用仍需给出各子项的标定方法、取值范围及其与视觉目标的空间关联，避免将无关传感信息引入同一目标的融合结果。</w:t>
      </w:r>
    </w:p>
    <w:p w14:paraId="1154D464">
      <w:pPr>
        <w:ind w:firstLine="482"/>
      </w:pPr>
      <w:r>
        <w:t>系统最终输出包括候选框坐标、类别、原始视觉得分和融合得分。后处理阶段采用非极大值抑制筛除重叠候选框，并将保留结果传递至后续接口。融合得分是当前规则和数值格式下的计算量，除非经过带标注数据的统计校准，否则不应直接解释为目标类别的正确概率。</w:t>
      </w:r>
    </w:p>
    <w:p w14:paraId="7E64B932">
      <w:pPr>
        <w:ind w:firstLine="482"/>
      </w:pPr>
      <w:r>
        <w:t>融合方法的评价应在同一批带标注样本上进行，并设置纯视觉分支作为对照。除总体检测精度外，还应分别统计误检、漏检、类别差异和辅助信息异常时的输出变化。单个样本得分上升只能说明固定规则改变了数值输出，只有在统一数据集和评价指标下的重复比较，才能判断融合方法是否具有稳定收益。</w:t>
      </w:r>
    </w:p>
    <w:p w14:paraId="7921AE31">
      <w:pPr>
        <w:pStyle w:val="5"/>
      </w:pPr>
      <w:r>
        <w:rPr>
          <w:rFonts w:ascii="Times New Roman" w:hAnsi="Times New Roman" w:eastAsia="黑体"/>
        </w:rPr>
        <w:t>2.3.3 数值实现与目标关联</w:t>
      </w:r>
    </w:p>
    <w:p w14:paraId="1C2497E5">
      <w:pPr>
        <w:ind w:firstLine="482"/>
      </w:pPr>
      <w:r>
        <w:t>权重之和等于 1 只是数值约束，并不能保证融合结果在物理意义上合理。各支路首先需要指向同一目标或同一空间区域，辅助得分还必须处于可比较的数值尺度，类别相关条件也应成立。例如，人体存在状态可以支持对人体活动的判断，但不能直接作为椅子等非人体类别的正证据。</w:t>
      </w:r>
    </w:p>
    <w:p w14:paraId="42E3FD0A">
      <w:pPr>
        <w:ind w:firstLine="482"/>
      </w:pPr>
      <w:r>
        <w:t>固定权重在 FPGA 中涉及位宽、定点缩放、乘法中间结果和舍入策略。比例项需要保留足够的小数精度，乘法结果需要采用足够位宽，再按照统一规则进行舍入或截断。附录中的历史代码截图包含整数比例表达式，必须与软件参考值、综合行为和板上输出逐项比对，才能确认其是否实现了预期权重。</w:t>
      </w:r>
    </w:p>
    <w:p w14:paraId="3F6F4219">
      <w:pPr>
        <w:ind w:firstLine="482"/>
      </w:pPr>
      <w:r>
        <w:t>后续改进可依据传感数据的有效性和时效性对输入进行筛选，并在软件参考模型和板上测试均通过后，再评估自适应权重或异常信息剔除的收益。本阶段不将这些机制列为已完成的系统功能，而将其作为后续实验的变量。</w:t>
      </w:r>
    </w:p>
    <w:p w14:paraId="2A478E47">
      <w:pPr>
        <w:pStyle w:val="4"/>
      </w:pPr>
      <w:bookmarkStart w:id="9" w:name="_Toc243777546"/>
      <w:r>
        <w:rPr>
          <w:rFonts w:ascii="Times New Roman" w:hAnsi="Times New Roman" w:eastAsia="黑体"/>
        </w:rPr>
        <w:t>2.4 传感接口与机器人平台</w:t>
      </w:r>
      <w:bookmarkEnd w:id="9"/>
    </w:p>
    <w:p w14:paraId="162A016D">
      <w:pPr>
        <w:pStyle w:val="5"/>
      </w:pPr>
      <w:r>
        <w:rPr>
          <w:rFonts w:ascii="Times New Roman" w:hAnsi="Times New Roman" w:eastAsia="黑体"/>
        </w:rPr>
        <w:t>2.4.1 传感器采集与内部信号观测</w:t>
      </w:r>
    </w:p>
    <w:p w14:paraId="64857EF3">
      <w:pPr>
        <w:ind w:firstLine="482"/>
      </w:pPr>
      <w:r>
        <w:t>前端感知由单目摄像头、超声测距模块和人体存在雷达组成。工程使用集成逻辑分析仪观测接口输入、输出及状态变化，以检查数据接收、状态判定和存储过程。该观测方式能够定位模块级时序问题，但不能替代跨模块的连续任务测试。</w:t>
      </w:r>
    </w:p>
    <w:p w14:paraId="70640DA3">
      <w:pPr>
        <w:keepNext/>
        <w:jc w:val="center"/>
      </w:pPr>
      <w:r>
        <w:drawing>
          <wp:inline distT="0" distB="0" distL="0" distR="0">
            <wp:extent cx="1829435" cy="1079500"/>
            <wp:effectExtent l="0" t="0" r="0" b="0"/>
            <wp:docPr id="8" name="Picture 8"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项目原始设计、实验记录或程序摘录"/>
                    <pic:cNvPicPr>
                      <a:picLocks noChangeAspect="1"/>
                    </pic:cNvPicPr>
                  </pic:nvPicPr>
                  <pic:blipFill>
                    <a:blip r:embed="rId16"/>
                    <a:stretch>
                      <a:fillRect/>
                    </a:stretch>
                  </pic:blipFill>
                  <pic:spPr>
                    <a:xfrm>
                      <a:off x="0" y="0"/>
                      <a:ext cx="1829589" cy="1080000"/>
                    </a:xfrm>
                    <a:prstGeom prst="rect">
                      <a:avLst/>
                    </a:prstGeom>
                  </pic:spPr>
                </pic:pic>
              </a:graphicData>
            </a:graphic>
          </wp:inline>
        </w:drawing>
      </w:r>
      <w:r>
        <w:t xml:space="preserve">  </w:t>
      </w:r>
      <w:r>
        <w:drawing>
          <wp:inline distT="0" distB="0" distL="0" distR="0">
            <wp:extent cx="2045970" cy="1079500"/>
            <wp:effectExtent l="0" t="0" r="0" b="0"/>
            <wp:docPr id="9" name="Picture 9"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项目原始设计、实验记录或程序摘录"/>
                    <pic:cNvPicPr>
                      <a:picLocks noChangeAspect="1"/>
                    </pic:cNvPicPr>
                  </pic:nvPicPr>
                  <pic:blipFill>
                    <a:blip r:embed="rId17"/>
                    <a:stretch>
                      <a:fillRect/>
                    </a:stretch>
                  </pic:blipFill>
                  <pic:spPr>
                    <a:xfrm>
                      <a:off x="0" y="0"/>
                      <a:ext cx="2046315" cy="1080000"/>
                    </a:xfrm>
                    <a:prstGeom prst="rect">
                      <a:avLst/>
                    </a:prstGeom>
                  </pic:spPr>
                </pic:pic>
              </a:graphicData>
            </a:graphic>
          </wp:inline>
        </w:drawing>
      </w:r>
    </w:p>
    <w:p w14:paraId="496C0C7E">
      <w:pPr>
        <w:pStyle w:val="15"/>
        <w:jc w:val="center"/>
      </w:pPr>
      <w:r>
        <w:rPr>
          <w:b w:val="0"/>
        </w:rPr>
        <w:t>图2-7 超声测距与摄像头模块</w:t>
      </w:r>
    </w:p>
    <w:p w14:paraId="5128155D">
      <w:pPr>
        <w:keepNext/>
        <w:spacing w:after="40"/>
        <w:jc w:val="center"/>
      </w:pPr>
      <w:r>
        <w:drawing>
          <wp:inline distT="0" distB="0" distL="0" distR="0">
            <wp:extent cx="871855" cy="863600"/>
            <wp:effectExtent l="0" t="0" r="0" b="0"/>
            <wp:docPr id="10" name="Picture 10"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项目原始设计、实验记录或程序摘录"/>
                    <pic:cNvPicPr>
                      <a:picLocks noChangeAspect="1"/>
                    </pic:cNvPicPr>
                  </pic:nvPicPr>
                  <pic:blipFill>
                    <a:blip r:embed="rId18"/>
                    <a:stretch>
                      <a:fillRect/>
                    </a:stretch>
                  </pic:blipFill>
                  <pic:spPr>
                    <a:xfrm>
                      <a:off x="0" y="0"/>
                      <a:ext cx="872037" cy="864000"/>
                    </a:xfrm>
                    <a:prstGeom prst="rect">
                      <a:avLst/>
                    </a:prstGeom>
                  </pic:spPr>
                </pic:pic>
              </a:graphicData>
            </a:graphic>
          </wp:inline>
        </w:drawing>
      </w:r>
    </w:p>
    <w:p w14:paraId="09C87797">
      <w:pPr>
        <w:pStyle w:val="15"/>
        <w:jc w:val="center"/>
      </w:pPr>
      <w:r>
        <w:rPr>
          <w:b w:val="0"/>
        </w:rPr>
        <w:t>图2-8 人体存在雷达模块</w:t>
      </w:r>
    </w:p>
    <w:p w14:paraId="6AA0976C">
      <w:pPr>
        <w:keepNext/>
        <w:spacing w:after="40"/>
        <w:jc w:val="center"/>
      </w:pPr>
      <w:r>
        <w:drawing>
          <wp:inline distT="0" distB="0" distL="0" distR="0">
            <wp:extent cx="3677920" cy="1007745"/>
            <wp:effectExtent l="0" t="0" r="0" b="0"/>
            <wp:docPr id="11" name="Picture 11"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项目原始设计、实验记录或程序摘录"/>
                    <pic:cNvPicPr>
                      <a:picLocks noChangeAspect="1"/>
                    </pic:cNvPicPr>
                  </pic:nvPicPr>
                  <pic:blipFill>
                    <a:blip r:embed="rId19"/>
                    <a:stretch>
                      <a:fillRect/>
                    </a:stretch>
                  </pic:blipFill>
                  <pic:spPr>
                    <a:xfrm>
                      <a:off x="0" y="0"/>
                      <a:ext cx="3678545" cy="1008000"/>
                    </a:xfrm>
                    <a:prstGeom prst="rect">
                      <a:avLst/>
                    </a:prstGeom>
                  </pic:spPr>
                </pic:pic>
              </a:graphicData>
            </a:graphic>
          </wp:inline>
        </w:drawing>
      </w:r>
    </w:p>
    <w:p w14:paraId="2DDDF396">
      <w:pPr>
        <w:pStyle w:val="15"/>
        <w:jc w:val="center"/>
      </w:pPr>
      <w:r>
        <w:rPr>
          <w:b w:val="0"/>
        </w:rPr>
        <w:t>图2-9 雷达串口接收信号记录</w:t>
      </w:r>
    </w:p>
    <w:p w14:paraId="36D683CE">
      <w:pPr>
        <w:keepNext/>
        <w:spacing w:after="40"/>
        <w:jc w:val="center"/>
      </w:pPr>
      <w:r>
        <w:drawing>
          <wp:inline distT="0" distB="0" distL="0" distR="0">
            <wp:extent cx="4157980" cy="899795"/>
            <wp:effectExtent l="0" t="0" r="0" b="0"/>
            <wp:docPr id="12" name="Picture 12"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项目原始设计、实验记录或程序摘录"/>
                    <pic:cNvPicPr>
                      <a:picLocks noChangeAspect="1"/>
                    </pic:cNvPicPr>
                  </pic:nvPicPr>
                  <pic:blipFill>
                    <a:blip r:embed="rId20"/>
                    <a:stretch>
                      <a:fillRect/>
                    </a:stretch>
                  </pic:blipFill>
                  <pic:spPr>
                    <a:xfrm>
                      <a:off x="0" y="0"/>
                      <a:ext cx="4158100" cy="900000"/>
                    </a:xfrm>
                    <a:prstGeom prst="rect">
                      <a:avLst/>
                    </a:prstGeom>
                  </pic:spPr>
                </pic:pic>
              </a:graphicData>
            </a:graphic>
          </wp:inline>
        </w:drawing>
      </w:r>
    </w:p>
    <w:p w14:paraId="5E8B4628">
      <w:pPr>
        <w:pStyle w:val="15"/>
        <w:jc w:val="center"/>
      </w:pPr>
      <w:r>
        <w:rPr>
          <w:b w:val="0"/>
        </w:rPr>
        <w:t>图2-10 雷达状态输出信号记录</w:t>
      </w:r>
    </w:p>
    <w:p w14:paraId="200F61F2">
      <w:pPr>
        <w:ind w:firstLine="482"/>
      </w:pPr>
      <w:r>
        <w:t>图 2-9 和图 2-10 保留了雷达接收数据、接收完成标志及状态输出的波形片段，用于说明串口接收和状态判定的观测方法。要评价连续运行稳定性，还需在不同距离、遮挡和背景条件下记录误报、漏报与恢复时间。</w:t>
      </w:r>
    </w:p>
    <w:p w14:paraId="092D4C98">
      <w:pPr>
        <w:pStyle w:val="5"/>
      </w:pPr>
      <w:r>
        <w:rPr>
          <w:rFonts w:ascii="Times New Roman" w:hAnsi="Times New Roman" w:eastAsia="黑体"/>
        </w:rPr>
        <w:t>2.4.2 测距与存储接口</w:t>
      </w:r>
    </w:p>
    <w:p w14:paraId="29E0283B">
      <w:pPr>
        <w:ind w:firstLine="482"/>
      </w:pPr>
      <w:r>
        <w:t>超声接口产生触发信号并接收回波，根据回波时序换算距离值。图 2-11 展示复位、触发、回波和距离输出等信号，能够说明一次测距事务的接口顺序。测距精度和重复性仍需通过已知距离参照物进行标定，并记录不同材质和入射角下的误差。</w:t>
      </w:r>
    </w:p>
    <w:p w14:paraId="17741E14">
      <w:pPr>
        <w:keepNext/>
        <w:spacing w:after="40"/>
        <w:jc w:val="center"/>
      </w:pPr>
      <w:r>
        <w:drawing>
          <wp:inline distT="0" distB="0" distL="0" distR="0">
            <wp:extent cx="4142740" cy="2267585"/>
            <wp:effectExtent l="0" t="0" r="0" b="0"/>
            <wp:docPr id="13" name="Picture 13"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项目原始设计、实验记录或程序摘录"/>
                    <pic:cNvPicPr>
                      <a:picLocks noChangeAspect="1"/>
                    </pic:cNvPicPr>
                  </pic:nvPicPr>
                  <pic:blipFill>
                    <a:blip r:embed="rId21"/>
                    <a:stretch>
                      <a:fillRect/>
                    </a:stretch>
                  </pic:blipFill>
                  <pic:spPr>
                    <a:xfrm>
                      <a:off x="0" y="0"/>
                      <a:ext cx="4142879" cy="2267999"/>
                    </a:xfrm>
                    <a:prstGeom prst="rect">
                      <a:avLst/>
                    </a:prstGeom>
                  </pic:spPr>
                </pic:pic>
              </a:graphicData>
            </a:graphic>
          </wp:inline>
        </w:drawing>
      </w:r>
    </w:p>
    <w:p w14:paraId="5CB2930C">
      <w:pPr>
        <w:pStyle w:val="15"/>
        <w:jc w:val="center"/>
      </w:pPr>
      <w:r>
        <w:rPr>
          <w:b w:val="0"/>
        </w:rPr>
        <w:t>图2-11 超声测距接口信号记录</w:t>
      </w:r>
    </w:p>
    <w:p w14:paraId="49C00C86">
      <w:pPr>
        <w:ind w:firstLine="482"/>
      </w:pPr>
      <w:r>
        <w:t>存储接口保存扫描过程中获得的多方向距离数据和雷达状态。图 2-12 给出了地址、写入完成标志、写入数据及扫描记录等信号，从而能够检查采样结果是否按照预定顺序写入存储器。后续实验还应验证连续写入时的数据覆盖、读写冲突和异常恢复。</w:t>
      </w:r>
    </w:p>
    <w:p w14:paraId="67AD505C">
      <w:pPr>
        <w:keepNext/>
        <w:spacing w:after="40"/>
        <w:jc w:val="center"/>
      </w:pPr>
      <w:r>
        <w:drawing>
          <wp:inline distT="0" distB="0" distL="0" distR="0">
            <wp:extent cx="4819650" cy="2159635"/>
            <wp:effectExtent l="0" t="0" r="0" b="0"/>
            <wp:docPr id="14" name="Picture 14"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项目原始设计、实验记录或程序摘录"/>
                    <pic:cNvPicPr>
                      <a:picLocks noChangeAspect="1"/>
                    </pic:cNvPicPr>
                  </pic:nvPicPr>
                  <pic:blipFill>
                    <a:blip r:embed="rId22"/>
                    <a:stretch>
                      <a:fillRect/>
                    </a:stretch>
                  </pic:blipFill>
                  <pic:spPr>
                    <a:xfrm>
                      <a:off x="0" y="0"/>
                      <a:ext cx="4819896" cy="2160000"/>
                    </a:xfrm>
                    <a:prstGeom prst="rect">
                      <a:avLst/>
                    </a:prstGeom>
                  </pic:spPr>
                </pic:pic>
              </a:graphicData>
            </a:graphic>
          </wp:inline>
        </w:drawing>
      </w:r>
    </w:p>
    <w:p w14:paraId="7EF0D7E6">
      <w:pPr>
        <w:pStyle w:val="15"/>
        <w:jc w:val="center"/>
      </w:pPr>
      <w:r>
        <w:rPr>
          <w:b w:val="0"/>
        </w:rPr>
        <w:t>图2-12 DDR读写与采样数据记录</w:t>
      </w:r>
    </w:p>
    <w:p w14:paraId="789783C5">
      <w:pPr>
        <w:pStyle w:val="5"/>
      </w:pPr>
      <w:r>
        <w:rPr>
          <w:rFonts w:ascii="Times New Roman" w:hAnsi="Times New Roman" w:eastAsia="黑体"/>
        </w:rPr>
        <w:t>2.4.3 机械臂与底盘执行机构</w:t>
      </w:r>
    </w:p>
    <w:p w14:paraId="67A70816">
      <w:pPr>
        <w:ind w:firstLine="482"/>
      </w:pPr>
      <w:r>
        <w:t>验证平台采用六自由度 PWM 舵机机械臂和轮式底盘，底盘由减速电机与麦克纳姆轮组成，机械臂用于扫描和物体操作演示。执行机构为感知结果的应用提供了硬件接口，但抓取动作与导盲移动任务的目标不同。若要评价自主控制效果，需要把感知输出、坐标转换、控制指令和执行反馈置于同一闭环中考察。</w:t>
      </w:r>
    </w:p>
    <w:p w14:paraId="0DEE2703">
      <w:pPr>
        <w:keepNext/>
        <w:spacing w:after="40"/>
        <w:jc w:val="center"/>
      </w:pPr>
      <w:r>
        <w:drawing>
          <wp:inline distT="0" distB="0" distL="0" distR="0">
            <wp:extent cx="5349240" cy="1439545"/>
            <wp:effectExtent l="0" t="0" r="0" b="0"/>
            <wp:docPr id="15" name="Picture 15"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项目原始设计、实验记录或程序摘录"/>
                    <pic:cNvPicPr>
                      <a:picLocks noChangeAspect="1"/>
                    </pic:cNvPicPr>
                  </pic:nvPicPr>
                  <pic:blipFill>
                    <a:blip r:embed="rId23"/>
                    <a:stretch>
                      <a:fillRect/>
                    </a:stretch>
                  </pic:blipFill>
                  <pic:spPr>
                    <a:xfrm>
                      <a:off x="0" y="0"/>
                      <a:ext cx="5349295" cy="1440000"/>
                    </a:xfrm>
                    <a:prstGeom prst="rect">
                      <a:avLst/>
                    </a:prstGeom>
                  </pic:spPr>
                </pic:pic>
              </a:graphicData>
            </a:graphic>
          </wp:inline>
        </w:drawing>
      </w:r>
    </w:p>
    <w:p w14:paraId="045B4A9A">
      <w:pPr>
        <w:pStyle w:val="15"/>
        <w:jc w:val="center"/>
      </w:pPr>
      <w:r>
        <w:rPr>
          <w:b w:val="0"/>
        </w:rPr>
        <w:t>图2-13 机械臂 电机与轮组</w:t>
      </w:r>
    </w:p>
    <w:p w14:paraId="3D49A560">
      <w:pPr>
        <w:ind w:firstLine="482"/>
      </w:pPr>
      <w:r>
        <w:t>机械臂控制模块输出六路 PWM 信号，并记录动作组控制信号及相关测距数据。图 2-14 反映调试窗口中的一次输出状态，能够说明控制接口已经产生预期波形，但不能代表所有姿态、负载和连续运行条件下的控制精度。</w:t>
      </w:r>
    </w:p>
    <w:p w14:paraId="4D5A2CE4">
      <w:pPr>
        <w:keepNext/>
        <w:spacing w:after="40"/>
        <w:jc w:val="center"/>
      </w:pPr>
      <w:r>
        <w:drawing>
          <wp:inline distT="0" distB="0" distL="0" distR="0">
            <wp:extent cx="3750945" cy="2159635"/>
            <wp:effectExtent l="0" t="0" r="0" b="0"/>
            <wp:docPr id="16" name="Picture 16"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项目原始设计、实验记录或程序摘录"/>
                    <pic:cNvPicPr>
                      <a:picLocks noChangeAspect="1"/>
                    </pic:cNvPicPr>
                  </pic:nvPicPr>
                  <pic:blipFill>
                    <a:blip r:embed="rId24"/>
                    <a:stretch>
                      <a:fillRect/>
                    </a:stretch>
                  </pic:blipFill>
                  <pic:spPr>
                    <a:xfrm>
                      <a:off x="0" y="0"/>
                      <a:ext cx="3751071" cy="2160000"/>
                    </a:xfrm>
                    <a:prstGeom prst="rect">
                      <a:avLst/>
                    </a:prstGeom>
                  </pic:spPr>
                </pic:pic>
              </a:graphicData>
            </a:graphic>
          </wp:inline>
        </w:drawing>
      </w:r>
    </w:p>
    <w:p w14:paraId="1778F894">
      <w:pPr>
        <w:pStyle w:val="15"/>
        <w:jc w:val="center"/>
      </w:pPr>
      <w:r>
        <w:rPr>
          <w:b w:val="0"/>
        </w:rPr>
        <w:t>图2-14 机械臂控制模块信号记录</w:t>
      </w:r>
    </w:p>
    <w:p w14:paraId="16E4FFC3">
      <w:pPr>
        <w:ind w:firstLine="482"/>
      </w:pPr>
      <w:r>
        <w:t>板上检测计算和机器人动作演示分别对应感知模块与执行机构的功能验证。若后续将目标检测结果用于自主抓取或导盲移动，还需补充触发时刻、坐标变换、控制反馈、超时处理和异常终止等环节的连续记录。</w:t>
      </w:r>
    </w:p>
    <w:p w14:paraId="6A34A5F1">
      <w:pPr>
        <w:pStyle w:val="3"/>
        <w:pageBreakBefore/>
      </w:pPr>
      <w:bookmarkStart w:id="10" w:name="_Toc243777547"/>
      <w:r>
        <w:rPr>
          <w:rFonts w:ascii="Times New Roman" w:hAnsi="Times New Roman" w:eastAsia="黑体"/>
        </w:rPr>
        <w:t>3 功能验证与性能分析</w:t>
      </w:r>
      <w:bookmarkEnd w:id="10"/>
    </w:p>
    <w:p w14:paraId="00CF010C">
      <w:pPr>
        <w:pStyle w:val="4"/>
      </w:pPr>
      <w:bookmarkStart w:id="11" w:name="_Toc243777548"/>
      <w:r>
        <w:rPr>
          <w:rFonts w:ascii="Times New Roman" w:hAnsi="Times New Roman" w:eastAsia="黑体"/>
        </w:rPr>
        <w:t>3.1 图像采集与预处理</w:t>
      </w:r>
      <w:bookmarkEnd w:id="11"/>
    </w:p>
    <w:p w14:paraId="2067CB74">
      <w:pPr>
        <w:ind w:firstLine="482"/>
      </w:pPr>
      <w:r>
        <w:t>摄像头和 LCD 显示模块完成初始化后，通过串口返回设备状态，并在屏幕显示采集画面。图 3-1 给出了初始化输出和实时画面，说明图像输入模块能够形成可观察结果，并为后续文件保存和网络推理提供输入来源。</w:t>
      </w:r>
    </w:p>
    <w:p w14:paraId="48F4ED6B">
      <w:pPr>
        <w:keepNext/>
        <w:jc w:val="center"/>
      </w:pPr>
      <w:r>
        <w:drawing>
          <wp:inline distT="0" distB="0" distL="0" distR="0">
            <wp:extent cx="2560320" cy="2015490"/>
            <wp:effectExtent l="0" t="0" r="0" b="0"/>
            <wp:docPr id="17" name="Picture 17"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项目原始设计、实验记录或程序摘录"/>
                    <pic:cNvPicPr>
                      <a:picLocks noChangeAspect="1"/>
                    </pic:cNvPicPr>
                  </pic:nvPicPr>
                  <pic:blipFill>
                    <a:blip r:embed="rId25"/>
                    <a:stretch>
                      <a:fillRect/>
                    </a:stretch>
                  </pic:blipFill>
                  <pic:spPr>
                    <a:xfrm>
                      <a:off x="0" y="0"/>
                      <a:ext cx="2560537" cy="2015999"/>
                    </a:xfrm>
                    <a:prstGeom prst="rect">
                      <a:avLst/>
                    </a:prstGeom>
                  </pic:spPr>
                </pic:pic>
              </a:graphicData>
            </a:graphic>
          </wp:inline>
        </w:drawing>
      </w:r>
      <w:r>
        <w:t xml:space="preserve">  </w:t>
      </w:r>
      <w:r>
        <w:drawing>
          <wp:inline distT="0" distB="0" distL="0" distR="0">
            <wp:extent cx="2688590" cy="2015490"/>
            <wp:effectExtent l="0" t="0" r="0" b="0"/>
            <wp:docPr id="18" name="Picture 18"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项目原始设计、实验记录或程序摘录"/>
                    <pic:cNvPicPr>
                      <a:picLocks noChangeAspect="1"/>
                    </pic:cNvPicPr>
                  </pic:nvPicPr>
                  <pic:blipFill>
                    <a:blip r:embed="rId26"/>
                    <a:stretch>
                      <a:fillRect/>
                    </a:stretch>
                  </pic:blipFill>
                  <pic:spPr>
                    <a:xfrm>
                      <a:off x="0" y="0"/>
                      <a:ext cx="2689050" cy="2015999"/>
                    </a:xfrm>
                    <a:prstGeom prst="rect">
                      <a:avLst/>
                    </a:prstGeom>
                  </pic:spPr>
                </pic:pic>
              </a:graphicData>
            </a:graphic>
          </wp:inline>
        </w:drawing>
      </w:r>
    </w:p>
    <w:p w14:paraId="774503C3">
      <w:pPr>
        <w:pStyle w:val="15"/>
        <w:jc w:val="center"/>
      </w:pPr>
      <w:r>
        <w:rPr>
          <w:b w:val="0"/>
        </w:rPr>
        <w:t>图3-1 摄像头初始化与LCD显示</w:t>
      </w:r>
    </w:p>
    <w:p w14:paraId="2DAE48ED">
      <w:pPr>
        <w:ind w:firstLine="482"/>
      </w:pPr>
      <w:r>
        <w:t>采集图像以 BMP 格式保存至 SD 卡，随后转换为检测程序使用的 BIN 数据。转换过程依次完成文件头读取、像素信息解析、尺寸处理、数据排列和文件写入。附录 A 保留对应程序摘录，便于检查图像格式与网络输入之间的转换关系。</w:t>
      </w:r>
    </w:p>
    <w:p w14:paraId="123073F5">
      <w:pPr>
        <w:keepNext/>
        <w:jc w:val="center"/>
      </w:pPr>
      <w:r>
        <w:drawing>
          <wp:inline distT="0" distB="0" distL="0" distR="0">
            <wp:extent cx="2299335" cy="1799590"/>
            <wp:effectExtent l="0" t="0" r="0" b="0"/>
            <wp:docPr id="19" name="Picture 19"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项目原始设计、实验记录或程序摘录"/>
                    <pic:cNvPicPr>
                      <a:picLocks noChangeAspect="1"/>
                    </pic:cNvPicPr>
                  </pic:nvPicPr>
                  <pic:blipFill>
                    <a:blip r:embed="rId27"/>
                    <a:stretch>
                      <a:fillRect/>
                    </a:stretch>
                  </pic:blipFill>
                  <pic:spPr>
                    <a:xfrm>
                      <a:off x="0" y="0"/>
                      <a:ext cx="2299396" cy="1799999"/>
                    </a:xfrm>
                    <a:prstGeom prst="rect">
                      <a:avLst/>
                    </a:prstGeom>
                  </pic:spPr>
                </pic:pic>
              </a:graphicData>
            </a:graphic>
          </wp:inline>
        </w:drawing>
      </w:r>
      <w:r>
        <w:t xml:space="preserve">  </w:t>
      </w:r>
      <w:r>
        <w:drawing>
          <wp:inline distT="0" distB="0" distL="0" distR="0">
            <wp:extent cx="2807970" cy="429260"/>
            <wp:effectExtent l="0" t="0" r="0" b="0"/>
            <wp:docPr id="20" name="Picture 20"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项目原始设计、实验记录或程序摘录"/>
                    <pic:cNvPicPr>
                      <a:picLocks noChangeAspect="1"/>
                    </pic:cNvPicPr>
                  </pic:nvPicPr>
                  <pic:blipFill>
                    <a:blip r:embed="rId28"/>
                    <a:stretch>
                      <a:fillRect/>
                    </a:stretch>
                  </pic:blipFill>
                  <pic:spPr>
                    <a:xfrm>
                      <a:off x="0" y="0"/>
                      <a:ext cx="2808000" cy="429600"/>
                    </a:xfrm>
                    <a:prstGeom prst="rect">
                      <a:avLst/>
                    </a:prstGeom>
                  </pic:spPr>
                </pic:pic>
              </a:graphicData>
            </a:graphic>
          </wp:inline>
        </w:drawing>
      </w:r>
    </w:p>
    <w:p w14:paraId="67DD38E5">
      <w:pPr>
        <w:pStyle w:val="15"/>
        <w:jc w:val="center"/>
      </w:pPr>
      <w:r>
        <w:rPr>
          <w:b w:val="0"/>
        </w:rPr>
        <w:t>图3-2 图像保存日志与转换后文件</w:t>
      </w:r>
    </w:p>
    <w:p w14:paraId="2CDCA08E">
      <w:pPr>
        <w:ind w:firstLine="482"/>
      </w:pPr>
      <w:r>
        <w:t>图像采集显示和文件输入推理属于两个相互独立的验证环节。连续视频检测还需要把采集、预处理、推理、后处理和显示连接到统一运行流程中，并在连续输入条件下统计缓冲切换、丢帧和阶段延迟。</w:t>
      </w:r>
    </w:p>
    <w:p w14:paraId="270828A0">
      <w:pPr>
        <w:pStyle w:val="4"/>
      </w:pPr>
      <w:bookmarkStart w:id="12" w:name="_Toc243777549"/>
      <w:r>
        <w:rPr>
          <w:rFonts w:ascii="Times New Roman" w:hAnsi="Times New Roman" w:eastAsia="黑体"/>
        </w:rPr>
        <w:t>3.2 板上目标检测</w:t>
      </w:r>
      <w:bookmarkEnd w:id="12"/>
    </w:p>
    <w:p w14:paraId="7F0B4F13">
      <w:pPr>
        <w:ind w:firstLine="482"/>
      </w:pPr>
      <w:r>
        <w:t>检测程序读取模型权重和输入文件，完成前向计算后对输出进行格式转换、检测框解码和非极大值抑制。图 3-3 展示板上运行日志、瓶子类别输出及对应框坐标，能够证明该输入样例经过完整的程序路径并产生结构化检测结果。</w:t>
      </w:r>
    </w:p>
    <w:p w14:paraId="6FE57AA5">
      <w:pPr>
        <w:pStyle w:val="5"/>
      </w:pPr>
      <w:r>
        <w:rPr>
          <w:rFonts w:ascii="Times New Roman" w:hAnsi="Times New Roman" w:eastAsia="黑体"/>
        </w:rPr>
        <w:t>3.2.1 板上日志与计时范围</w:t>
      </w:r>
    </w:p>
    <w:p w14:paraId="519EF7C3">
      <w:pPr>
        <w:keepNext/>
        <w:spacing w:after="40"/>
        <w:jc w:val="center"/>
      </w:pPr>
      <w:r>
        <w:drawing>
          <wp:inline distT="0" distB="0" distL="0" distR="0">
            <wp:extent cx="4200525" cy="3275965"/>
            <wp:effectExtent l="0" t="0" r="0" b="0"/>
            <wp:docPr id="21" name="Picture 21"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项目原始设计、实验记录或程序摘录"/>
                    <pic:cNvPicPr>
                      <a:picLocks noChangeAspect="1"/>
                    </pic:cNvPicPr>
                  </pic:nvPicPr>
                  <pic:blipFill>
                    <a:blip r:embed="rId29"/>
                    <a:stretch>
                      <a:fillRect/>
                    </a:stretch>
                  </pic:blipFill>
                  <pic:spPr>
                    <a:xfrm>
                      <a:off x="0" y="0"/>
                      <a:ext cx="4200613" cy="3276000"/>
                    </a:xfrm>
                    <a:prstGeom prst="rect">
                      <a:avLst/>
                    </a:prstGeom>
                  </pic:spPr>
                </pic:pic>
              </a:graphicData>
            </a:graphic>
          </wp:inline>
        </w:drawing>
      </w:r>
    </w:p>
    <w:p w14:paraId="5A93DC5D">
      <w:pPr>
        <w:pStyle w:val="15"/>
        <w:jc w:val="center"/>
      </w:pPr>
      <w:r>
        <w:rPr>
          <w:b w:val="0"/>
        </w:rPr>
        <w:t>图3-3 板上推理及后处理输出记录</w:t>
      </w:r>
    </w:p>
    <w:p w14:paraId="7579C488">
      <w:pPr>
        <w:pStyle w:val="15"/>
        <w:keepNext/>
        <w:jc w:val="center"/>
      </w:pPr>
      <w:r>
        <w:rPr>
          <w:b w:val="0"/>
        </w:rPr>
        <w:t>表3-1 同次板上记录的处理耗时</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2282"/>
        <w:gridCol w:w="2909"/>
        <w:gridCol w:w="3993"/>
      </w:tblGrid>
      <w:tr w14:paraId="1A12CA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2282" w:type="dxa"/>
            <w:shd w:val="clear" w:color="auto" w:fill="E7EDF3"/>
            <w:vAlign w:val="center"/>
          </w:tcPr>
          <w:p w14:paraId="5B75930F">
            <w:pPr>
              <w:keepNext/>
              <w:spacing w:after="0" w:line="276" w:lineRule="auto"/>
              <w:jc w:val="center"/>
            </w:pPr>
            <w:r>
              <w:rPr>
                <w:b/>
                <w:sz w:val="21"/>
              </w:rPr>
              <w:t>记录项</w:t>
            </w:r>
          </w:p>
        </w:tc>
        <w:tc>
          <w:tcPr>
            <w:tcW w:w="2909" w:type="dxa"/>
            <w:shd w:val="clear" w:color="auto" w:fill="E7EDF3"/>
            <w:vAlign w:val="center"/>
          </w:tcPr>
          <w:p w14:paraId="489797D1">
            <w:pPr>
              <w:keepNext/>
              <w:spacing w:after="0" w:line="276" w:lineRule="auto"/>
              <w:jc w:val="center"/>
            </w:pPr>
            <w:r>
              <w:rPr>
                <w:b/>
                <w:sz w:val="21"/>
              </w:rPr>
              <w:t>截图数值</w:t>
            </w:r>
          </w:p>
        </w:tc>
        <w:tc>
          <w:tcPr>
            <w:tcW w:w="3993" w:type="dxa"/>
            <w:shd w:val="clear" w:color="auto" w:fill="E7EDF3"/>
            <w:vAlign w:val="center"/>
          </w:tcPr>
          <w:p w14:paraId="7AA7FFF1">
            <w:pPr>
              <w:keepNext/>
              <w:spacing w:after="0" w:line="276" w:lineRule="auto"/>
              <w:jc w:val="center"/>
            </w:pPr>
            <w:r>
              <w:rPr>
                <w:b/>
                <w:sz w:val="21"/>
              </w:rPr>
              <w:t>统计范围</w:t>
            </w:r>
          </w:p>
        </w:tc>
      </w:tr>
      <w:tr w14:paraId="740CB0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5DF4ECCA">
            <w:pPr>
              <w:keepNext/>
              <w:spacing w:after="0" w:line="276" w:lineRule="auto"/>
              <w:jc w:val="center"/>
            </w:pPr>
            <w:r>
              <w:rPr>
                <w:sz w:val="21"/>
              </w:rPr>
              <w:t>单次推理耗时</w:t>
            </w:r>
          </w:p>
        </w:tc>
        <w:tc>
          <w:tcPr>
            <w:tcW w:w="2909" w:type="dxa"/>
            <w:vAlign w:val="center"/>
          </w:tcPr>
          <w:p w14:paraId="182CDADA">
            <w:pPr>
              <w:keepNext/>
              <w:spacing w:after="0" w:line="276" w:lineRule="auto"/>
              <w:jc w:val="left"/>
            </w:pPr>
            <w:r>
              <w:rPr>
                <w:sz w:val="21"/>
              </w:rPr>
              <w:t>461799 μs，即461.799 ms</w:t>
            </w:r>
          </w:p>
        </w:tc>
        <w:tc>
          <w:tcPr>
            <w:tcW w:w="3993" w:type="dxa"/>
            <w:vAlign w:val="center"/>
          </w:tcPr>
          <w:p w14:paraId="0BD48C07">
            <w:pPr>
              <w:keepNext/>
              <w:spacing w:after="0" w:line="276" w:lineRule="auto"/>
              <w:jc w:val="center"/>
            </w:pPr>
            <w:r>
              <w:rPr>
                <w:sz w:val="21"/>
              </w:rPr>
              <w:t>程序所计前向计算及相关缓存操作区间</w:t>
            </w:r>
          </w:p>
        </w:tc>
      </w:tr>
      <w:tr w14:paraId="51CE69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25CF7AB4">
            <w:pPr>
              <w:spacing w:after="0" w:line="276" w:lineRule="auto"/>
              <w:jc w:val="center"/>
            </w:pPr>
            <w:r>
              <w:rPr>
                <w:sz w:val="21"/>
              </w:rPr>
              <w:t>后处理耗时</w:t>
            </w:r>
          </w:p>
        </w:tc>
        <w:tc>
          <w:tcPr>
            <w:tcW w:w="2909" w:type="dxa"/>
            <w:vAlign w:val="center"/>
          </w:tcPr>
          <w:p w14:paraId="23A30277">
            <w:pPr>
              <w:spacing w:after="0" w:line="276" w:lineRule="auto"/>
              <w:jc w:val="left"/>
            </w:pPr>
            <w:r>
              <w:rPr>
                <w:sz w:val="21"/>
              </w:rPr>
              <w:t>13512 μs，即13.512 ms</w:t>
            </w:r>
          </w:p>
        </w:tc>
        <w:tc>
          <w:tcPr>
            <w:tcW w:w="3993" w:type="dxa"/>
            <w:vAlign w:val="center"/>
          </w:tcPr>
          <w:p w14:paraId="3FA2561D">
            <w:pPr>
              <w:spacing w:after="0" w:line="276" w:lineRule="auto"/>
              <w:jc w:val="center"/>
            </w:pPr>
            <w:r>
              <w:rPr>
                <w:sz w:val="21"/>
              </w:rPr>
              <w:t>该次记录的解码与NMS后处理区间</w:t>
            </w:r>
          </w:p>
        </w:tc>
      </w:tr>
    </w:tbl>
    <w:p w14:paraId="76C2AFAA">
      <w:pPr>
        <w:spacing w:after="0"/>
      </w:pPr>
    </w:p>
    <w:p w14:paraId="25DA15A7">
      <w:pPr>
        <w:ind w:firstLine="482"/>
      </w:pPr>
      <w:r>
        <w:t>结合附录 B 的计时位置，461.799 ms 区间覆盖前向计算及输出缓存失效操作，不包括此前的图像读取、模型权重加载和缓存刷新。13.512 ms 区间围绕 detector 调用，包含检测框解码与非极大值抑制，不包括更早的输出文件写入和定点到浮点转换。两个数值因此对应程序中的不同局部区间，不能直接视为同一层级的系统指标。</w:t>
      </w:r>
    </w:p>
    <w:p w14:paraId="3A7D7C1D">
      <w:pPr>
        <w:ind w:firstLine="482"/>
      </w:pPr>
      <w:r>
        <w:t>将同次日志中顺序记录的两个区间相加，可得 475.311 ms，其中前向计算约占 97.16%，后处理约占 2.84%。这一算术结果用于分析该计时范围内的耗时构成，不包含摄像头采集、文件转换、显示更新和机器人动作执行时间。</w:t>
      </w:r>
    </w:p>
    <w:p w14:paraId="7B0F3335">
      <w:pPr>
        <w:ind w:firstLine="482"/>
      </w:pPr>
      <w:r>
        <w:t>上述记录描述的是一次文件输入程序的局部计时，不能替代从采集到机器人响应的端到端延迟。连续吞吐率应在持续输入条件下统计单位时间内完成的帧数，并同时记录延迟分布和丢帧情况。单次耗时的倒数只能作为粗略量级参考，不能直接作为流水系统帧率。</w:t>
      </w:r>
    </w:p>
    <w:p w14:paraId="112C6DD2">
      <w:pPr>
        <w:pStyle w:val="5"/>
      </w:pPr>
      <w:r>
        <w:rPr>
          <w:rFonts w:ascii="Times New Roman" w:hAnsi="Times New Roman" w:eastAsia="黑体"/>
        </w:rPr>
        <w:t>3.2.2 检测结果示例</w:t>
      </w:r>
    </w:p>
    <w:p w14:paraId="707DC49D">
      <w:pPr>
        <w:ind w:firstLine="482"/>
      </w:pPr>
      <w:r>
        <w:t>图 3-4 展示已有测试图像上的多类别输出，图 3-5 展示室内物体检测结果。样例能够说明类别标签、目标框和置信度的输出形式，但由于缺少统一测试集和标注文件，不能据此计算总体检测准确率、召回率或平均精度。</w:t>
      </w:r>
    </w:p>
    <w:p w14:paraId="23ECA523">
      <w:pPr>
        <w:keepNext/>
        <w:spacing w:after="40"/>
        <w:jc w:val="center"/>
      </w:pPr>
      <w:r>
        <w:drawing>
          <wp:inline distT="0" distB="0" distL="0" distR="0">
            <wp:extent cx="3779520" cy="2663825"/>
            <wp:effectExtent l="0" t="0" r="0" b="0"/>
            <wp:docPr id="22" name="Picture 22"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项目原始设计、实验记录或程序摘录"/>
                    <pic:cNvPicPr>
                      <a:picLocks noChangeAspect="1"/>
                    </pic:cNvPicPr>
                  </pic:nvPicPr>
                  <pic:blipFill>
                    <a:blip r:embed="rId30"/>
                    <a:stretch>
                      <a:fillRect/>
                    </a:stretch>
                  </pic:blipFill>
                  <pic:spPr>
                    <a:xfrm>
                      <a:off x="0" y="0"/>
                      <a:ext cx="3779610" cy="2664000"/>
                    </a:xfrm>
                    <a:prstGeom prst="rect">
                      <a:avLst/>
                    </a:prstGeom>
                  </pic:spPr>
                </pic:pic>
              </a:graphicData>
            </a:graphic>
          </wp:inline>
        </w:drawing>
      </w:r>
    </w:p>
    <w:p w14:paraId="4887EAFC">
      <w:pPr>
        <w:pStyle w:val="15"/>
        <w:jc w:val="center"/>
      </w:pPr>
      <w:r>
        <w:rPr>
          <w:b w:val="0"/>
        </w:rPr>
        <w:t>图3-4 多类别检测输出示例</w:t>
      </w:r>
    </w:p>
    <w:p w14:paraId="214E9306">
      <w:pPr>
        <w:keepNext/>
        <w:spacing w:after="40"/>
        <w:jc w:val="center"/>
      </w:pPr>
      <w:r>
        <w:drawing>
          <wp:inline distT="0" distB="0" distL="0" distR="0">
            <wp:extent cx="4238625" cy="2555875"/>
            <wp:effectExtent l="0" t="0" r="0" b="0"/>
            <wp:docPr id="23" name="Picture 23"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项目原始设计、实验记录或程序摘录"/>
                    <pic:cNvPicPr>
                      <a:picLocks noChangeAspect="1"/>
                    </pic:cNvPicPr>
                  </pic:nvPicPr>
                  <pic:blipFill>
                    <a:blip r:embed="rId31"/>
                    <a:stretch>
                      <a:fillRect/>
                    </a:stretch>
                  </pic:blipFill>
                  <pic:spPr>
                    <a:xfrm>
                      <a:off x="0" y="0"/>
                      <a:ext cx="4238700" cy="2556000"/>
                    </a:xfrm>
                    <a:prstGeom prst="rect">
                      <a:avLst/>
                    </a:prstGeom>
                  </pic:spPr>
                </pic:pic>
              </a:graphicData>
            </a:graphic>
          </wp:inline>
        </w:drawing>
      </w:r>
    </w:p>
    <w:p w14:paraId="5E6B1FF9">
      <w:pPr>
        <w:pStyle w:val="15"/>
        <w:jc w:val="center"/>
      </w:pPr>
      <w:r>
        <w:rPr>
          <w:b w:val="0"/>
        </w:rPr>
        <w:t>图3-5 室内物体检测输出示例</w:t>
      </w:r>
    </w:p>
    <w:p w14:paraId="4EB688A5">
      <w:pPr>
        <w:ind w:firstLine="482"/>
      </w:pPr>
      <w:r>
        <w:t>后续性能比较应固定测试集、输入尺寸、模型权重和阈值，并同时报告误检、漏检、类别混淆和处理时延。成功样例适合说明程序输出格式，不能单独代表复杂导盲场景下的整体识别能力。</w:t>
      </w:r>
    </w:p>
    <w:p w14:paraId="4BA4FF14">
      <w:pPr>
        <w:pStyle w:val="4"/>
      </w:pPr>
      <w:bookmarkStart w:id="13" w:name="_Toc243777550"/>
      <w:r>
        <w:rPr>
          <w:rFonts w:ascii="Times New Roman" w:hAnsi="Times New Roman" w:eastAsia="黑体"/>
        </w:rPr>
        <w:t>3.3 辅助得分与机器人演示</w:t>
      </w:r>
      <w:bookmarkEnd w:id="13"/>
    </w:p>
    <w:p w14:paraId="13DA73A4">
      <w:pPr>
        <w:pStyle w:val="5"/>
      </w:pPr>
      <w:r>
        <w:rPr>
          <w:rFonts w:ascii="Times New Roman" w:hAnsi="Times New Roman" w:eastAsia="黑体"/>
        </w:rPr>
        <w:t>3.3.1 辅助得分计算示例</w:t>
      </w:r>
    </w:p>
    <w:p w14:paraId="3E931818">
      <w:pPr>
        <w:ind w:firstLine="482"/>
      </w:pPr>
      <w:r>
        <w:t>椅子样例同时保留了纯视觉输出和引入辅助项后的得分。串口记录显示，视觉得分为 0.808802，融合得分为 0.834520。该结果说明固定权重规则能够改变最终数值，但并不说明类别判断已经得到改善。</w:t>
      </w:r>
    </w:p>
    <w:p w14:paraId="2C102F6E">
      <w:pPr>
        <w:ind w:firstLine="482"/>
      </w:pPr>
      <w:r>
        <w:t>该样例的辅助项分别为人体存在得分 1、尺寸得分 0.945962、水平起伏得分 0.9982 和垂直起伏得分 0.991399。按原配置加权可得 0.834519775，四舍五入后为 0.834520，与日志显示值一致。复算验证了样例中的算术关系，但仍需通过软件参考模型、定点实现和板上输出的逐项比对，才能确认硬件计算与设计意图一致。</w:t>
      </w:r>
    </w:p>
    <w:p w14:paraId="03F85938">
      <w:pPr>
        <w:spacing w:before="100" w:after="140"/>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 xml:space="preserve"> = 0.85×0.808802 + 0.05×1 + 0.05×0.945962</m:t>
          </m:r>
        </m:oMath>
      </m:oMathPara>
    </w:p>
    <w:p w14:paraId="69836D0B">
      <w:pPr>
        <w:spacing w:before="100" w:after="140"/>
        <w:jc w:val="center"/>
      </w:pPr>
      <m:oMathPara>
        <m:oMath>
          <m:r>
            <m:rPr/>
            <w:rPr>
              <w:rFonts w:ascii="Cambria Math" w:hAnsi="Cambria Math"/>
            </w:rPr>
            <m:t xml:space="preserve">      + 0.025×0.9982 + 0.025×0.991399 ≈ 0.834520</m:t>
          </m:r>
        </m:oMath>
      </m:oMathPara>
    </w:p>
    <w:p w14:paraId="71FB2592">
      <w:pPr>
        <w:keepNext/>
        <w:jc w:val="center"/>
      </w:pPr>
      <w:r>
        <w:drawing>
          <wp:inline distT="0" distB="0" distL="0" distR="0">
            <wp:extent cx="1939290" cy="2339975"/>
            <wp:effectExtent l="0" t="0" r="0" b="0"/>
            <wp:docPr id="24" name="Picture 24"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项目原始设计、实验记录或程序摘录"/>
                    <pic:cNvPicPr>
                      <a:picLocks noChangeAspect="1"/>
                    </pic:cNvPicPr>
                  </pic:nvPicPr>
                  <pic:blipFill>
                    <a:blip r:embed="rId32"/>
                    <a:stretch>
                      <a:fillRect/>
                    </a:stretch>
                  </pic:blipFill>
                  <pic:spPr>
                    <a:xfrm>
                      <a:off x="0" y="0"/>
                      <a:ext cx="1939297" cy="2339999"/>
                    </a:xfrm>
                    <a:prstGeom prst="rect">
                      <a:avLst/>
                    </a:prstGeom>
                  </pic:spPr>
                </pic:pic>
              </a:graphicData>
            </a:graphic>
          </wp:inline>
        </w:drawing>
      </w:r>
      <w:r>
        <w:t xml:space="preserve">  </w:t>
      </w:r>
      <w:r>
        <w:drawing>
          <wp:inline distT="0" distB="0" distL="0" distR="0">
            <wp:extent cx="1998345" cy="2339975"/>
            <wp:effectExtent l="0" t="0" r="0" b="0"/>
            <wp:docPr id="25" name="Picture 25"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项目原始设计、实验记录或程序摘录"/>
                    <pic:cNvPicPr>
                      <a:picLocks noChangeAspect="1"/>
                    </pic:cNvPicPr>
                  </pic:nvPicPr>
                  <pic:blipFill>
                    <a:blip r:embed="rId33"/>
                    <a:stretch>
                      <a:fillRect/>
                    </a:stretch>
                  </pic:blipFill>
                  <pic:spPr>
                    <a:xfrm>
                      <a:off x="0" y="0"/>
                      <a:ext cx="1998614" cy="2339999"/>
                    </a:xfrm>
                    <a:prstGeom prst="rect">
                      <a:avLst/>
                    </a:prstGeom>
                  </pic:spPr>
                </pic:pic>
              </a:graphicData>
            </a:graphic>
          </wp:inline>
        </w:drawing>
      </w:r>
    </w:p>
    <w:p w14:paraId="4ADD456E">
      <w:pPr>
        <w:pStyle w:val="15"/>
        <w:jc w:val="center"/>
      </w:pPr>
      <w:r>
        <w:rPr>
          <w:b w:val="0"/>
        </w:rPr>
        <w:t>图3-6 椅子样例及原方案各辅助项配置</w:t>
      </w:r>
    </w:p>
    <w:p w14:paraId="25BD5C50">
      <w:pPr>
        <w:keepNext/>
        <w:spacing w:after="40"/>
        <w:jc w:val="center"/>
      </w:pPr>
      <w:r>
        <w:drawing>
          <wp:inline distT="0" distB="0" distL="0" distR="0">
            <wp:extent cx="4354830" cy="2699385"/>
            <wp:effectExtent l="0" t="0" r="0" b="0"/>
            <wp:docPr id="26" name="Picture 26"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项目原始设计、实验记录或程序摘录"/>
                    <pic:cNvPicPr>
                      <a:picLocks noChangeAspect="1"/>
                    </pic:cNvPicPr>
                  </pic:nvPicPr>
                  <pic:blipFill>
                    <a:blip r:embed="rId34"/>
                    <a:stretch>
                      <a:fillRect/>
                    </a:stretch>
                  </pic:blipFill>
                  <pic:spPr>
                    <a:xfrm>
                      <a:off x="0" y="0"/>
                      <a:ext cx="4354838" cy="2700000"/>
                    </a:xfrm>
                    <a:prstGeom prst="rect">
                      <a:avLst/>
                    </a:prstGeom>
                  </pic:spPr>
                </pic:pic>
              </a:graphicData>
            </a:graphic>
          </wp:inline>
        </w:drawing>
      </w:r>
    </w:p>
    <w:p w14:paraId="6C8B2A3F">
      <w:pPr>
        <w:pStyle w:val="15"/>
        <w:jc w:val="center"/>
      </w:pPr>
      <w:r>
        <w:rPr>
          <w:b w:val="0"/>
        </w:rPr>
        <w:t>图3-7 传感信息与融合得分输出记录</w:t>
      </w:r>
    </w:p>
    <w:p w14:paraId="31E0B424">
      <w:pPr>
        <w:ind w:firstLine="482"/>
      </w:pPr>
      <w:r>
        <w:t>记录同时包含多方向距离、几何相关量、活动状态、视觉得分和融合得分。图中 chair 样例仍出现生物辅助项，提示当前流程需要进一步核对类别适用性及目标关联规则。该截图末行显示后处理计时 46584998 μs，即 46.584998 s；其量级与图 3-3 中的 13.512 ms 不一致，且两者的计时对象和工程版本尚未统一，因此本文分别保留两条记录，不将其合并为同一次或同一版本的性能结果。</w:t>
      </w:r>
    </w:p>
    <w:p w14:paraId="146B894B">
      <w:pPr>
        <w:pStyle w:val="5"/>
      </w:pPr>
      <w:r>
        <w:rPr>
          <w:rFonts w:ascii="Times New Roman" w:hAnsi="Times New Roman" w:eastAsia="黑体"/>
        </w:rPr>
        <w:t>3.3.2 实物动作验证</w:t>
      </w:r>
    </w:p>
    <w:p w14:paraId="7C7ECF45">
      <w:pPr>
        <w:ind w:firstLine="482"/>
      </w:pPr>
      <w:r>
        <w:t>现有视频展示机器人机械臂夹持瓶状物、抬升、转向托盘并释放的动作。该片段能够说明机械臂控制链路和一次动作序列已经产生可观察结果，但视频中未同时给出视觉触发信号、坐标变换和控制反馈。因此，它不能单独证明动作由目标识别自动触发，也不能作为导盲导航任务完成率的指标。</w:t>
      </w:r>
    </w:p>
    <w:p w14:paraId="27E27FC8">
      <w:pPr>
        <w:keepNext/>
        <w:jc w:val="center"/>
      </w:pPr>
      <w:r>
        <w:drawing>
          <wp:inline distT="0" distB="0" distL="0" distR="0">
            <wp:extent cx="2807970" cy="1579245"/>
            <wp:effectExtent l="0" t="0" r="0" b="0"/>
            <wp:docPr id="27" name="Picture 27"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项目原始设计、实验记录或程序摘录"/>
                    <pic:cNvPicPr>
                      <a:picLocks noChangeAspect="1"/>
                    </pic:cNvPicPr>
                  </pic:nvPicPr>
                  <pic:blipFill>
                    <a:blip r:embed="rId35"/>
                    <a:stretch>
                      <a:fillRect/>
                    </a:stretch>
                  </pic:blipFill>
                  <pic:spPr>
                    <a:xfrm>
                      <a:off x="0" y="0"/>
                      <a:ext cx="2808000" cy="1579500"/>
                    </a:xfrm>
                    <a:prstGeom prst="rect">
                      <a:avLst/>
                    </a:prstGeom>
                  </pic:spPr>
                </pic:pic>
              </a:graphicData>
            </a:graphic>
          </wp:inline>
        </w:drawing>
      </w:r>
      <w:r>
        <w:t xml:space="preserve">  </w:t>
      </w:r>
      <w:r>
        <w:drawing>
          <wp:inline distT="0" distB="0" distL="0" distR="0">
            <wp:extent cx="2807970" cy="1579245"/>
            <wp:effectExtent l="0" t="0" r="0" b="0"/>
            <wp:docPr id="28" name="Picture 28"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项目原始设计、实验记录或程序摘录"/>
                    <pic:cNvPicPr>
                      <a:picLocks noChangeAspect="1"/>
                    </pic:cNvPicPr>
                  </pic:nvPicPr>
                  <pic:blipFill>
                    <a:blip r:embed="rId36"/>
                    <a:stretch>
                      <a:fillRect/>
                    </a:stretch>
                  </pic:blipFill>
                  <pic:spPr>
                    <a:xfrm>
                      <a:off x="0" y="0"/>
                      <a:ext cx="2808000" cy="1579500"/>
                    </a:xfrm>
                    <a:prstGeom prst="rect">
                      <a:avLst/>
                    </a:prstGeom>
                  </pic:spPr>
                </pic:pic>
              </a:graphicData>
            </a:graphic>
          </wp:inline>
        </w:drawing>
      </w:r>
    </w:p>
    <w:p w14:paraId="374CDCEB">
      <w:pPr>
        <w:pStyle w:val="15"/>
        <w:jc w:val="center"/>
      </w:pPr>
      <w:r>
        <w:rPr>
          <w:b w:val="0"/>
        </w:rPr>
        <w:t>图3-8 现有视频中的夹持与转移动作</w:t>
      </w:r>
    </w:p>
    <w:p w14:paraId="1AC4053B">
      <w:pPr>
        <w:keepNext/>
        <w:spacing w:after="40"/>
        <w:jc w:val="center"/>
      </w:pPr>
      <w:r>
        <w:drawing>
          <wp:inline distT="0" distB="0" distL="0" distR="0">
            <wp:extent cx="4175760" cy="2348865"/>
            <wp:effectExtent l="0" t="0" r="0" b="0"/>
            <wp:docPr id="29" name="Picture 29"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项目原始设计、实验记录或程序摘录"/>
                    <pic:cNvPicPr>
                      <a:picLocks noChangeAspect="1"/>
                    </pic:cNvPicPr>
                  </pic:nvPicPr>
                  <pic:blipFill>
                    <a:blip r:embed="rId37"/>
                    <a:stretch>
                      <a:fillRect/>
                    </a:stretch>
                  </pic:blipFill>
                  <pic:spPr>
                    <a:xfrm>
                      <a:off x="0" y="0"/>
                      <a:ext cx="4176000" cy="2349000"/>
                    </a:xfrm>
                    <a:prstGeom prst="rect">
                      <a:avLst/>
                    </a:prstGeom>
                  </pic:spPr>
                </pic:pic>
              </a:graphicData>
            </a:graphic>
          </wp:inline>
        </w:drawing>
      </w:r>
    </w:p>
    <w:p w14:paraId="6D096473">
      <w:pPr>
        <w:pStyle w:val="15"/>
        <w:jc w:val="center"/>
      </w:pPr>
      <w:r>
        <w:rPr>
          <w:b w:val="0"/>
        </w:rPr>
        <w:t>图3-9 现有视频中的释放动作</w:t>
      </w:r>
    </w:p>
    <w:p w14:paraId="1C5F7C93">
      <w:pPr>
        <w:pStyle w:val="15"/>
        <w:keepNext/>
        <w:jc w:val="center"/>
      </w:pPr>
      <w:r>
        <w:rPr>
          <w:b w:val="0"/>
        </w:rPr>
        <w:t>表3-2 分项验证与相应输出</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997"/>
        <w:gridCol w:w="3480"/>
        <w:gridCol w:w="3708"/>
      </w:tblGrid>
      <w:tr w14:paraId="0D6CF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997" w:type="dxa"/>
            <w:shd w:val="clear" w:color="auto" w:fill="E7EDF3"/>
            <w:vAlign w:val="center"/>
          </w:tcPr>
          <w:p w14:paraId="163AE35B">
            <w:pPr>
              <w:keepNext/>
              <w:spacing w:after="0" w:line="276" w:lineRule="auto"/>
              <w:jc w:val="center"/>
            </w:pPr>
            <w:r>
              <w:rPr>
                <w:b/>
                <w:sz w:val="21"/>
              </w:rPr>
              <w:t>验证内容</w:t>
            </w:r>
          </w:p>
        </w:tc>
        <w:tc>
          <w:tcPr>
            <w:tcW w:w="3480" w:type="dxa"/>
            <w:shd w:val="clear" w:color="auto" w:fill="E7EDF3"/>
            <w:vAlign w:val="center"/>
          </w:tcPr>
          <w:p w14:paraId="6C30C644">
            <w:pPr>
              <w:keepNext/>
              <w:spacing w:after="0" w:line="276" w:lineRule="auto"/>
              <w:jc w:val="center"/>
            </w:pPr>
            <w:r>
              <w:rPr>
                <w:b/>
                <w:sz w:val="21"/>
              </w:rPr>
              <w:t>已有输出</w:t>
            </w:r>
          </w:p>
        </w:tc>
        <w:tc>
          <w:tcPr>
            <w:tcW w:w="3708" w:type="dxa"/>
            <w:shd w:val="clear" w:color="auto" w:fill="E7EDF3"/>
            <w:vAlign w:val="center"/>
          </w:tcPr>
          <w:p w14:paraId="2632FEFD">
            <w:pPr>
              <w:keepNext/>
              <w:spacing w:after="0" w:line="276" w:lineRule="auto"/>
              <w:jc w:val="center"/>
            </w:pPr>
            <w:r>
              <w:rPr>
                <w:b/>
                <w:sz w:val="21"/>
              </w:rPr>
              <w:t>结论范围</w:t>
            </w:r>
          </w:p>
        </w:tc>
      </w:tr>
      <w:tr w14:paraId="3B8773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997" w:type="dxa"/>
            <w:vAlign w:val="center"/>
          </w:tcPr>
          <w:p w14:paraId="27B7C37B">
            <w:pPr>
              <w:keepNext/>
              <w:spacing w:after="0" w:line="276" w:lineRule="auto"/>
              <w:jc w:val="center"/>
            </w:pPr>
            <w:r>
              <w:rPr>
                <w:sz w:val="21"/>
              </w:rPr>
              <w:t>目标检测</w:t>
            </w:r>
          </w:p>
        </w:tc>
        <w:tc>
          <w:tcPr>
            <w:tcW w:w="3480" w:type="dxa"/>
            <w:vAlign w:val="center"/>
          </w:tcPr>
          <w:p w14:paraId="4FD309A5">
            <w:pPr>
              <w:keepNext/>
              <w:spacing w:after="0" w:line="276" w:lineRule="auto"/>
              <w:jc w:val="center"/>
            </w:pPr>
            <w:r>
              <w:rPr>
                <w:sz w:val="21"/>
              </w:rPr>
              <w:t>板上日志与目标框示例</w:t>
            </w:r>
          </w:p>
        </w:tc>
        <w:tc>
          <w:tcPr>
            <w:tcW w:w="3708" w:type="dxa"/>
            <w:vAlign w:val="center"/>
          </w:tcPr>
          <w:p w14:paraId="6E25CF1D">
            <w:pPr>
              <w:keepNext/>
              <w:spacing w:after="0" w:line="276" w:lineRule="auto"/>
              <w:jc w:val="center"/>
            </w:pPr>
            <w:r>
              <w:rPr>
                <w:sz w:val="21"/>
              </w:rPr>
              <w:t>检测计算及结果输出</w:t>
            </w:r>
          </w:p>
        </w:tc>
      </w:tr>
      <w:tr w14:paraId="494D1F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997" w:type="dxa"/>
            <w:vAlign w:val="center"/>
          </w:tcPr>
          <w:p w14:paraId="56540E15">
            <w:pPr>
              <w:keepNext/>
              <w:spacing w:after="0" w:line="276" w:lineRule="auto"/>
              <w:jc w:val="center"/>
            </w:pPr>
            <w:r>
              <w:rPr>
                <w:sz w:val="21"/>
              </w:rPr>
              <w:t>辅助传感处理</w:t>
            </w:r>
          </w:p>
        </w:tc>
        <w:tc>
          <w:tcPr>
            <w:tcW w:w="3480" w:type="dxa"/>
            <w:vAlign w:val="center"/>
          </w:tcPr>
          <w:p w14:paraId="71AD2D38">
            <w:pPr>
              <w:keepNext/>
              <w:spacing w:after="0" w:line="276" w:lineRule="auto"/>
              <w:jc w:val="center"/>
            </w:pPr>
            <w:r>
              <w:rPr>
                <w:sz w:val="21"/>
              </w:rPr>
              <w:t>接口波形与融合得分记录</w:t>
            </w:r>
          </w:p>
        </w:tc>
        <w:tc>
          <w:tcPr>
            <w:tcW w:w="3708" w:type="dxa"/>
            <w:vAlign w:val="center"/>
          </w:tcPr>
          <w:p w14:paraId="1BACA546">
            <w:pPr>
              <w:keepNext/>
              <w:spacing w:after="0" w:line="276" w:lineRule="auto"/>
              <w:jc w:val="center"/>
            </w:pPr>
            <w:r>
              <w:rPr>
                <w:sz w:val="21"/>
              </w:rPr>
              <w:t>模块信号及得分计算输出</w:t>
            </w:r>
          </w:p>
        </w:tc>
      </w:tr>
      <w:tr w14:paraId="1DD669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997" w:type="dxa"/>
            <w:vAlign w:val="center"/>
          </w:tcPr>
          <w:p w14:paraId="2EBE9718">
            <w:pPr>
              <w:spacing w:after="0" w:line="276" w:lineRule="auto"/>
              <w:jc w:val="center"/>
            </w:pPr>
            <w:r>
              <w:rPr>
                <w:sz w:val="21"/>
              </w:rPr>
              <w:t>机械臂动作</w:t>
            </w:r>
          </w:p>
        </w:tc>
        <w:tc>
          <w:tcPr>
            <w:tcW w:w="3480" w:type="dxa"/>
            <w:vAlign w:val="center"/>
          </w:tcPr>
          <w:p w14:paraId="60B73787">
            <w:pPr>
              <w:spacing w:after="0" w:line="276" w:lineRule="auto"/>
              <w:jc w:val="center"/>
            </w:pPr>
            <w:r>
              <w:rPr>
                <w:sz w:val="21"/>
              </w:rPr>
              <w:t>抓取 转移 释放片段</w:t>
            </w:r>
          </w:p>
        </w:tc>
        <w:tc>
          <w:tcPr>
            <w:tcW w:w="3708" w:type="dxa"/>
            <w:vAlign w:val="center"/>
          </w:tcPr>
          <w:p w14:paraId="6FDA1EA4">
            <w:pPr>
              <w:spacing w:after="0" w:line="276" w:lineRule="auto"/>
              <w:jc w:val="center"/>
            </w:pPr>
            <w:r>
              <w:rPr>
                <w:sz w:val="21"/>
              </w:rPr>
              <w:t>所示一次动作过程</w:t>
            </w:r>
          </w:p>
        </w:tc>
      </w:tr>
    </w:tbl>
    <w:p w14:paraId="45925BDB">
      <w:pPr>
        <w:spacing w:after="0"/>
      </w:pPr>
    </w:p>
    <w:p w14:paraId="1ADAB2D5">
      <w:pPr>
        <w:pStyle w:val="4"/>
      </w:pPr>
      <w:bookmarkStart w:id="14" w:name="_Toc243777551"/>
      <w:r>
        <w:rPr>
          <w:rFonts w:ascii="Times New Roman" w:hAnsi="Times New Roman" w:eastAsia="黑体"/>
        </w:rPr>
        <w:t>3.4 资源 时序与功耗</w:t>
      </w:r>
      <w:bookmarkEnd w:id="14"/>
    </w:p>
    <w:p w14:paraId="530B59CA">
      <w:pPr>
        <w:pStyle w:val="5"/>
      </w:pPr>
      <w:r>
        <w:rPr>
          <w:rFonts w:ascii="Times New Roman" w:hAnsi="Times New Roman" w:eastAsia="黑体"/>
        </w:rPr>
        <w:t>3.4.1 系统资源使用情况</w:t>
      </w:r>
    </w:p>
    <w:p w14:paraId="75806E00">
      <w:pPr>
        <w:ind w:firstLine="482"/>
      </w:pPr>
      <w:r>
        <w:t>图3-10为已有工程版本的资源报告。为避免混用不同模块的统计范围，表3-3统一采用该系统汇总结果。</w:t>
      </w:r>
    </w:p>
    <w:p w14:paraId="5B08EB1D">
      <w:pPr>
        <w:keepNext/>
        <w:spacing w:after="40"/>
        <w:jc w:val="center"/>
      </w:pPr>
      <w:r>
        <w:drawing>
          <wp:inline distT="0" distB="0" distL="0" distR="0">
            <wp:extent cx="3500120" cy="2555875"/>
            <wp:effectExtent l="0" t="0" r="0" b="0"/>
            <wp:docPr id="30" name="Picture 30"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项目原始设计、实验记录或程序摘录"/>
                    <pic:cNvPicPr>
                      <a:picLocks noChangeAspect="1"/>
                    </pic:cNvPicPr>
                  </pic:nvPicPr>
                  <pic:blipFill>
                    <a:blip r:embed="rId38"/>
                    <a:stretch>
                      <a:fillRect/>
                    </a:stretch>
                  </pic:blipFill>
                  <pic:spPr>
                    <a:xfrm>
                      <a:off x="0" y="0"/>
                      <a:ext cx="3500511" cy="2556000"/>
                    </a:xfrm>
                    <a:prstGeom prst="rect">
                      <a:avLst/>
                    </a:prstGeom>
                  </pic:spPr>
                </pic:pic>
              </a:graphicData>
            </a:graphic>
          </wp:inline>
        </w:drawing>
      </w:r>
    </w:p>
    <w:p w14:paraId="00308DC8">
      <w:pPr>
        <w:pStyle w:val="15"/>
        <w:jc w:val="center"/>
      </w:pPr>
      <w:r>
        <w:rPr>
          <w:b w:val="0"/>
        </w:rPr>
        <w:t>图3-10 系统资源使用报告</w:t>
      </w:r>
    </w:p>
    <w:p w14:paraId="61BBE7C1">
      <w:pPr>
        <w:pStyle w:val="15"/>
        <w:keepNext/>
        <w:jc w:val="center"/>
      </w:pPr>
      <w:r>
        <w:rPr>
          <w:b w:val="0"/>
        </w:rPr>
        <w:t>表3-3 系统资源使用情况</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2282"/>
        <w:gridCol w:w="2282"/>
        <w:gridCol w:w="2282"/>
        <w:gridCol w:w="2339"/>
      </w:tblGrid>
      <w:tr w14:paraId="14A4E6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2282" w:type="dxa"/>
            <w:shd w:val="clear" w:color="auto" w:fill="E7EDF3"/>
            <w:vAlign w:val="center"/>
          </w:tcPr>
          <w:p w14:paraId="00B6B681">
            <w:pPr>
              <w:keepNext/>
              <w:spacing w:after="0" w:line="276" w:lineRule="auto"/>
              <w:jc w:val="center"/>
            </w:pPr>
            <w:r>
              <w:rPr>
                <w:b/>
                <w:sz w:val="21"/>
              </w:rPr>
              <w:t>资源</w:t>
            </w:r>
          </w:p>
        </w:tc>
        <w:tc>
          <w:tcPr>
            <w:tcW w:w="2282" w:type="dxa"/>
            <w:shd w:val="clear" w:color="auto" w:fill="E7EDF3"/>
            <w:vAlign w:val="center"/>
          </w:tcPr>
          <w:p w14:paraId="7C841720">
            <w:pPr>
              <w:keepNext/>
              <w:spacing w:after="0" w:line="276" w:lineRule="auto"/>
              <w:jc w:val="center"/>
            </w:pPr>
            <w:r>
              <w:rPr>
                <w:b/>
                <w:sz w:val="21"/>
              </w:rPr>
              <w:t>使用量</w:t>
            </w:r>
          </w:p>
        </w:tc>
        <w:tc>
          <w:tcPr>
            <w:tcW w:w="2282" w:type="dxa"/>
            <w:shd w:val="clear" w:color="auto" w:fill="E7EDF3"/>
            <w:vAlign w:val="center"/>
          </w:tcPr>
          <w:p w14:paraId="72782387">
            <w:pPr>
              <w:keepNext/>
              <w:spacing w:after="0" w:line="276" w:lineRule="auto"/>
              <w:jc w:val="center"/>
            </w:pPr>
            <w:r>
              <w:rPr>
                <w:b/>
                <w:sz w:val="21"/>
              </w:rPr>
              <w:t>可用量</w:t>
            </w:r>
          </w:p>
        </w:tc>
        <w:tc>
          <w:tcPr>
            <w:tcW w:w="2339" w:type="dxa"/>
            <w:shd w:val="clear" w:color="auto" w:fill="E7EDF3"/>
            <w:vAlign w:val="center"/>
          </w:tcPr>
          <w:p w14:paraId="05F7F5FF">
            <w:pPr>
              <w:keepNext/>
              <w:spacing w:after="0" w:line="276" w:lineRule="auto"/>
              <w:jc w:val="center"/>
            </w:pPr>
            <w:r>
              <w:rPr>
                <w:b/>
                <w:sz w:val="21"/>
              </w:rPr>
              <w:t>使用比例</w:t>
            </w:r>
          </w:p>
        </w:tc>
      </w:tr>
      <w:tr w14:paraId="170BAB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151ED1BF">
            <w:pPr>
              <w:keepNext/>
              <w:spacing w:after="0" w:line="276" w:lineRule="auto"/>
              <w:jc w:val="center"/>
            </w:pPr>
            <w:r>
              <w:rPr>
                <w:sz w:val="21"/>
              </w:rPr>
              <w:t>LUT</w:t>
            </w:r>
          </w:p>
        </w:tc>
        <w:tc>
          <w:tcPr>
            <w:tcW w:w="2282" w:type="dxa"/>
            <w:vAlign w:val="center"/>
          </w:tcPr>
          <w:p w14:paraId="5A6142DC">
            <w:pPr>
              <w:keepNext/>
              <w:spacing w:after="0" w:line="276" w:lineRule="auto"/>
              <w:jc w:val="center"/>
            </w:pPr>
            <w:r>
              <w:rPr>
                <w:sz w:val="21"/>
              </w:rPr>
              <w:t>35278</w:t>
            </w:r>
          </w:p>
        </w:tc>
        <w:tc>
          <w:tcPr>
            <w:tcW w:w="2282" w:type="dxa"/>
            <w:vAlign w:val="center"/>
          </w:tcPr>
          <w:p w14:paraId="604ECDC8">
            <w:pPr>
              <w:keepNext/>
              <w:spacing w:after="0" w:line="276" w:lineRule="auto"/>
              <w:jc w:val="center"/>
            </w:pPr>
            <w:r>
              <w:rPr>
                <w:sz w:val="21"/>
              </w:rPr>
              <w:t>53200</w:t>
            </w:r>
          </w:p>
        </w:tc>
        <w:tc>
          <w:tcPr>
            <w:tcW w:w="2339" w:type="dxa"/>
            <w:vAlign w:val="center"/>
          </w:tcPr>
          <w:p w14:paraId="4A396605">
            <w:pPr>
              <w:keepNext/>
              <w:spacing w:after="0" w:line="276" w:lineRule="auto"/>
              <w:jc w:val="center"/>
            </w:pPr>
            <w:r>
              <w:rPr>
                <w:sz w:val="21"/>
              </w:rPr>
              <w:t>66.31%</w:t>
            </w:r>
          </w:p>
        </w:tc>
      </w:tr>
      <w:tr w14:paraId="186F4E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35AD03E2">
            <w:pPr>
              <w:keepNext/>
              <w:spacing w:after="0" w:line="276" w:lineRule="auto"/>
              <w:jc w:val="center"/>
            </w:pPr>
            <w:r>
              <w:rPr>
                <w:sz w:val="21"/>
              </w:rPr>
              <w:t>LUTRAM</w:t>
            </w:r>
          </w:p>
        </w:tc>
        <w:tc>
          <w:tcPr>
            <w:tcW w:w="2282" w:type="dxa"/>
            <w:vAlign w:val="center"/>
          </w:tcPr>
          <w:p w14:paraId="497AD4DC">
            <w:pPr>
              <w:keepNext/>
              <w:spacing w:after="0" w:line="276" w:lineRule="auto"/>
              <w:jc w:val="center"/>
            </w:pPr>
            <w:r>
              <w:rPr>
                <w:sz w:val="21"/>
              </w:rPr>
              <w:t>5648</w:t>
            </w:r>
          </w:p>
        </w:tc>
        <w:tc>
          <w:tcPr>
            <w:tcW w:w="2282" w:type="dxa"/>
            <w:vAlign w:val="center"/>
          </w:tcPr>
          <w:p w14:paraId="0844DB02">
            <w:pPr>
              <w:keepNext/>
              <w:spacing w:after="0" w:line="276" w:lineRule="auto"/>
              <w:jc w:val="center"/>
            </w:pPr>
            <w:r>
              <w:rPr>
                <w:sz w:val="21"/>
              </w:rPr>
              <w:t>17400</w:t>
            </w:r>
          </w:p>
        </w:tc>
        <w:tc>
          <w:tcPr>
            <w:tcW w:w="2339" w:type="dxa"/>
            <w:vAlign w:val="center"/>
          </w:tcPr>
          <w:p w14:paraId="5492A275">
            <w:pPr>
              <w:keepNext/>
              <w:spacing w:after="0" w:line="276" w:lineRule="auto"/>
              <w:jc w:val="center"/>
            </w:pPr>
            <w:r>
              <w:rPr>
                <w:sz w:val="21"/>
              </w:rPr>
              <w:t>32.46%</w:t>
            </w:r>
          </w:p>
        </w:tc>
      </w:tr>
      <w:tr w14:paraId="6A0DF8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011CAE9B">
            <w:pPr>
              <w:keepNext/>
              <w:spacing w:after="0" w:line="276" w:lineRule="auto"/>
              <w:jc w:val="center"/>
            </w:pPr>
            <w:r>
              <w:rPr>
                <w:sz w:val="21"/>
              </w:rPr>
              <w:t>FF</w:t>
            </w:r>
          </w:p>
        </w:tc>
        <w:tc>
          <w:tcPr>
            <w:tcW w:w="2282" w:type="dxa"/>
            <w:vAlign w:val="center"/>
          </w:tcPr>
          <w:p w14:paraId="44632BBA">
            <w:pPr>
              <w:keepNext/>
              <w:spacing w:after="0" w:line="276" w:lineRule="auto"/>
              <w:jc w:val="center"/>
            </w:pPr>
            <w:r>
              <w:rPr>
                <w:sz w:val="21"/>
              </w:rPr>
              <w:t>32698</w:t>
            </w:r>
          </w:p>
        </w:tc>
        <w:tc>
          <w:tcPr>
            <w:tcW w:w="2282" w:type="dxa"/>
            <w:vAlign w:val="center"/>
          </w:tcPr>
          <w:p w14:paraId="2B9159FC">
            <w:pPr>
              <w:keepNext/>
              <w:spacing w:after="0" w:line="276" w:lineRule="auto"/>
              <w:jc w:val="center"/>
            </w:pPr>
            <w:r>
              <w:rPr>
                <w:sz w:val="21"/>
              </w:rPr>
              <w:t>106400</w:t>
            </w:r>
          </w:p>
        </w:tc>
        <w:tc>
          <w:tcPr>
            <w:tcW w:w="2339" w:type="dxa"/>
            <w:vAlign w:val="center"/>
          </w:tcPr>
          <w:p w14:paraId="0235EE92">
            <w:pPr>
              <w:keepNext/>
              <w:spacing w:after="0" w:line="276" w:lineRule="auto"/>
              <w:jc w:val="center"/>
            </w:pPr>
            <w:r>
              <w:rPr>
                <w:sz w:val="21"/>
              </w:rPr>
              <w:t>30.73%</w:t>
            </w:r>
          </w:p>
        </w:tc>
      </w:tr>
      <w:tr w14:paraId="78D90A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34F8DB2F">
            <w:pPr>
              <w:keepNext/>
              <w:spacing w:after="0" w:line="276" w:lineRule="auto"/>
              <w:jc w:val="center"/>
            </w:pPr>
            <w:r>
              <w:rPr>
                <w:sz w:val="21"/>
              </w:rPr>
              <w:t>BRAM</w:t>
            </w:r>
          </w:p>
        </w:tc>
        <w:tc>
          <w:tcPr>
            <w:tcW w:w="2282" w:type="dxa"/>
            <w:vAlign w:val="center"/>
          </w:tcPr>
          <w:p w14:paraId="49FD6C32">
            <w:pPr>
              <w:keepNext/>
              <w:spacing w:after="0" w:line="276" w:lineRule="auto"/>
              <w:jc w:val="center"/>
            </w:pPr>
            <w:r>
              <w:rPr>
                <w:sz w:val="21"/>
              </w:rPr>
              <w:t>94.50</w:t>
            </w:r>
          </w:p>
        </w:tc>
        <w:tc>
          <w:tcPr>
            <w:tcW w:w="2282" w:type="dxa"/>
            <w:vAlign w:val="center"/>
          </w:tcPr>
          <w:p w14:paraId="1A2C9701">
            <w:pPr>
              <w:keepNext/>
              <w:spacing w:after="0" w:line="276" w:lineRule="auto"/>
              <w:jc w:val="center"/>
            </w:pPr>
            <w:r>
              <w:rPr>
                <w:sz w:val="21"/>
              </w:rPr>
              <w:t>140</w:t>
            </w:r>
          </w:p>
        </w:tc>
        <w:tc>
          <w:tcPr>
            <w:tcW w:w="2339" w:type="dxa"/>
            <w:vAlign w:val="center"/>
          </w:tcPr>
          <w:p w14:paraId="3BA9B6DD">
            <w:pPr>
              <w:keepNext/>
              <w:spacing w:after="0" w:line="276" w:lineRule="auto"/>
              <w:jc w:val="center"/>
            </w:pPr>
            <w:r>
              <w:rPr>
                <w:sz w:val="21"/>
              </w:rPr>
              <w:t>67.50%</w:t>
            </w:r>
          </w:p>
        </w:tc>
      </w:tr>
      <w:tr w14:paraId="2537A5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282" w:type="dxa"/>
            <w:vAlign w:val="center"/>
          </w:tcPr>
          <w:p w14:paraId="396C6FBB">
            <w:pPr>
              <w:spacing w:after="0" w:line="276" w:lineRule="auto"/>
              <w:jc w:val="center"/>
            </w:pPr>
            <w:r>
              <w:rPr>
                <w:sz w:val="21"/>
              </w:rPr>
              <w:t>DSP</w:t>
            </w:r>
          </w:p>
        </w:tc>
        <w:tc>
          <w:tcPr>
            <w:tcW w:w="2282" w:type="dxa"/>
            <w:vAlign w:val="center"/>
          </w:tcPr>
          <w:p w14:paraId="10073147">
            <w:pPr>
              <w:spacing w:after="0" w:line="276" w:lineRule="auto"/>
              <w:jc w:val="center"/>
            </w:pPr>
            <w:r>
              <w:rPr>
                <w:sz w:val="21"/>
              </w:rPr>
              <w:t>218</w:t>
            </w:r>
          </w:p>
        </w:tc>
        <w:tc>
          <w:tcPr>
            <w:tcW w:w="2282" w:type="dxa"/>
            <w:vAlign w:val="center"/>
          </w:tcPr>
          <w:p w14:paraId="7EFA2A2F">
            <w:pPr>
              <w:spacing w:after="0" w:line="276" w:lineRule="auto"/>
              <w:jc w:val="center"/>
            </w:pPr>
            <w:r>
              <w:rPr>
                <w:sz w:val="21"/>
              </w:rPr>
              <w:t>220</w:t>
            </w:r>
          </w:p>
        </w:tc>
        <w:tc>
          <w:tcPr>
            <w:tcW w:w="2339" w:type="dxa"/>
            <w:vAlign w:val="center"/>
          </w:tcPr>
          <w:p w14:paraId="5E315285">
            <w:pPr>
              <w:spacing w:after="0" w:line="276" w:lineRule="auto"/>
              <w:jc w:val="center"/>
            </w:pPr>
            <w:r>
              <w:rPr>
                <w:sz w:val="21"/>
              </w:rPr>
              <w:t>99.09%</w:t>
            </w:r>
          </w:p>
        </w:tc>
      </w:tr>
    </w:tbl>
    <w:p w14:paraId="62D478D6">
      <w:pPr>
        <w:spacing w:after="0"/>
      </w:pPr>
    </w:p>
    <w:p w14:paraId="0C2C8E13">
      <w:pPr>
        <w:ind w:firstLine="482"/>
      </w:pPr>
      <w:r>
        <w:t>当前工程使用 DSP 218 个，剩余 2 个，表明在保持其他结构不变的条件下，继续增加乘加并行度的空间非常有限。BRAM 仍有 45.5 个报告计量单位的余量，FF 余量相对较大，但这些资源不能直接替代 DSP 的乘加能力。优化时应先区分计算瓶颈和数据搬运瓶颈，再决定采用算子复用、缓存重排或数值精度调整。</w:t>
      </w:r>
    </w:p>
    <w:p w14:paraId="24532AB2">
      <w:pPr>
        <w:ind w:firstLine="482"/>
      </w:pPr>
      <w:r>
        <w:t>LUTRAM 是 LUT 资源中的存储使用类别，不应与 LUT 使用量简单相加。资源占用也不等同于计算效率：较高的并行结构只有在数据能够及时到达时才会转化为有效吞吐。因而，资源报告需要与运行时间、接口带宽和内部数据通路状态结合分析。</w:t>
      </w:r>
    </w:p>
    <w:p w14:paraId="2599C68F">
      <w:pPr>
        <w:pStyle w:val="5"/>
      </w:pPr>
      <w:r>
        <w:rPr>
          <w:rFonts w:ascii="Times New Roman" w:hAnsi="Times New Roman" w:eastAsia="黑体"/>
        </w:rPr>
        <w:t>3.4.2 时钟估计与实现时序</w:t>
      </w:r>
    </w:p>
    <w:p w14:paraId="176311E7">
      <w:pPr>
        <w:ind w:firstLine="482"/>
      </w:pPr>
      <w:r>
        <w:t>图 3-11 给出了 conv 模块的 HLS 综合结果。目标周期为 10 ns，工具估计周期为 12.004 ns，对应估计频率约 83.31 MHz。该结果描述特定模块和综合配置下的时序估计，不代表整机实测时钟，也不直接给出连续视频处理速度。</w:t>
      </w:r>
    </w:p>
    <w:p w14:paraId="4EB27600">
      <w:pPr>
        <w:keepNext/>
        <w:spacing w:after="40"/>
        <w:jc w:val="center"/>
      </w:pPr>
      <w:r>
        <w:drawing>
          <wp:inline distT="0" distB="0" distL="0" distR="0">
            <wp:extent cx="5630545" cy="2231390"/>
            <wp:effectExtent l="0" t="0" r="0" b="0"/>
            <wp:docPr id="31" name="Picture 31"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项目原始设计、实验记录或程序摘录"/>
                    <pic:cNvPicPr>
                      <a:picLocks noChangeAspect="1"/>
                    </pic:cNvPicPr>
                  </pic:nvPicPr>
                  <pic:blipFill>
                    <a:blip r:embed="rId39"/>
                    <a:stretch>
                      <a:fillRect/>
                    </a:stretch>
                  </pic:blipFill>
                  <pic:spPr>
                    <a:xfrm>
                      <a:off x="0" y="0"/>
                      <a:ext cx="5630806" cy="2231999"/>
                    </a:xfrm>
                    <a:prstGeom prst="rect">
                      <a:avLst/>
                    </a:prstGeom>
                  </pic:spPr>
                </pic:pic>
              </a:graphicData>
            </a:graphic>
          </wp:inline>
        </w:drawing>
      </w:r>
    </w:p>
    <w:p w14:paraId="2F65C8D9">
      <w:pPr>
        <w:pStyle w:val="15"/>
        <w:jc w:val="center"/>
      </w:pPr>
      <w:r>
        <w:rPr>
          <w:b w:val="0"/>
        </w:rPr>
        <w:t>图3-11 conv模块HLS时钟估计</w:t>
      </w:r>
    </w:p>
    <w:p w14:paraId="6ED7076B">
      <w:pPr>
        <w:ind w:firstLine="482"/>
      </w:pPr>
      <w:r>
        <w:t>实现时序报告记录 WNS 为 0.309 ns、WHS 为 0.030 ns、WPWS 为 3.453 ns，并在所用约束下未显示失败端点。该结论适用于当前工程版本、器件型号和时钟约束。若修改网络结构、时钟或接口配置，必须重新进行综合与实现，并检查约束是否覆盖全部时序路径。</w:t>
      </w:r>
    </w:p>
    <w:p w14:paraId="4A4484DD">
      <w:pPr>
        <w:keepNext/>
        <w:spacing w:after="40"/>
        <w:jc w:val="center"/>
      </w:pPr>
      <w:r>
        <w:drawing>
          <wp:inline distT="0" distB="0" distL="0" distR="0">
            <wp:extent cx="5759450" cy="1342390"/>
            <wp:effectExtent l="0" t="0" r="0" b="0"/>
            <wp:docPr id="32" name="Picture 32"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项目原始设计、实验记录或程序摘录"/>
                    <pic:cNvPicPr>
                      <a:picLocks noChangeAspect="1"/>
                    </pic:cNvPicPr>
                  </pic:nvPicPr>
                  <pic:blipFill>
                    <a:blip r:embed="rId40"/>
                    <a:stretch>
                      <a:fillRect/>
                    </a:stretch>
                  </pic:blipFill>
                  <pic:spPr>
                    <a:xfrm>
                      <a:off x="0" y="0"/>
                      <a:ext cx="5760000" cy="1342933"/>
                    </a:xfrm>
                    <a:prstGeom prst="rect">
                      <a:avLst/>
                    </a:prstGeom>
                  </pic:spPr>
                </pic:pic>
              </a:graphicData>
            </a:graphic>
          </wp:inline>
        </w:drawing>
      </w:r>
    </w:p>
    <w:p w14:paraId="41A9E8D4">
      <w:pPr>
        <w:pStyle w:val="15"/>
        <w:jc w:val="center"/>
      </w:pPr>
      <w:r>
        <w:rPr>
          <w:b w:val="0"/>
        </w:rPr>
        <w:t>图3-12 设计实现时序报告</w:t>
      </w:r>
    </w:p>
    <w:p w14:paraId="2E55DEFD">
      <w:pPr>
        <w:pStyle w:val="5"/>
      </w:pPr>
      <w:r>
        <w:rPr>
          <w:rFonts w:ascii="Times New Roman" w:hAnsi="Times New Roman" w:eastAsia="黑体"/>
        </w:rPr>
        <w:t>3.4.3 指标之间的关系</w:t>
      </w:r>
    </w:p>
    <w:p w14:paraId="2F585ED0">
      <w:pPr>
        <w:ind w:firstLine="482"/>
      </w:pPr>
      <w:r>
        <w:t>时钟估计用于描述模块时序，资源报告用于描述器件占用，程序计时用于描述代码执行区间，三者具有不同的统计对象。若与未优化方案比较，应固定器件、时钟、输入、权重和计时起止点，再同时报告延迟与资源变化。当前资料没有提供同条件的优化前后对照，因此本文不将局部时钟估计转换为系统加速倍数。</w:t>
      </w:r>
    </w:p>
    <w:p w14:paraId="6C3A0F4D">
      <w:pPr>
        <w:pStyle w:val="5"/>
      </w:pPr>
      <w:r>
        <w:rPr>
          <w:rFonts w:ascii="Times New Roman" w:hAnsi="Times New Roman" w:eastAsia="黑体"/>
        </w:rPr>
        <w:t>3.4.4 芯片功耗估计</w:t>
      </w:r>
    </w:p>
    <w:p w14:paraId="0A69F097">
      <w:pPr>
        <w:ind w:firstLine="482"/>
      </w:pPr>
      <w:r>
        <w:t>实现后网表功耗分析给出芯片总功耗估计 2.821 W，其中动态功耗 2.635 W、静态功耗 0.186 W，报告置信等级为 Medium。该结果用于分析当前工程在工具模型下的芯片功耗组成，不包含整板电源转换、摄像头、传感器、驱动器和电机等外设消耗，也不等同于电源仪器测得的整机输入功率。</w:t>
      </w:r>
    </w:p>
    <w:p w14:paraId="1D3F8ED3">
      <w:pPr>
        <w:keepNext/>
        <w:spacing w:after="40"/>
        <w:jc w:val="center"/>
      </w:pPr>
      <w:r>
        <w:drawing>
          <wp:inline distT="0" distB="0" distL="0" distR="0">
            <wp:extent cx="5296535" cy="2879725"/>
            <wp:effectExtent l="0" t="0" r="0" b="0"/>
            <wp:docPr id="33" name="Picture 33"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项目原始设计、实验记录或程序摘录"/>
                    <pic:cNvPicPr>
                      <a:picLocks noChangeAspect="1"/>
                    </pic:cNvPicPr>
                  </pic:nvPicPr>
                  <pic:blipFill>
                    <a:blip r:embed="rId41"/>
                    <a:stretch>
                      <a:fillRect/>
                    </a:stretch>
                  </pic:blipFill>
                  <pic:spPr>
                    <a:xfrm>
                      <a:off x="0" y="0"/>
                      <a:ext cx="5296744" cy="2880000"/>
                    </a:xfrm>
                    <a:prstGeom prst="rect">
                      <a:avLst/>
                    </a:prstGeom>
                  </pic:spPr>
                </pic:pic>
              </a:graphicData>
            </a:graphic>
          </wp:inline>
        </w:drawing>
      </w:r>
    </w:p>
    <w:p w14:paraId="2A56F072">
      <w:pPr>
        <w:pStyle w:val="15"/>
        <w:jc w:val="center"/>
      </w:pPr>
      <w:r>
        <w:rPr>
          <w:b w:val="0"/>
        </w:rPr>
        <w:t>图3-13 实现后芯片功耗分析结果</w:t>
      </w:r>
    </w:p>
    <w:p w14:paraId="64531D4E">
      <w:pPr>
        <w:pStyle w:val="15"/>
        <w:keepNext/>
        <w:jc w:val="center"/>
      </w:pPr>
      <w:r>
        <w:rPr>
          <w:b w:val="0"/>
        </w:rPr>
        <w:t>表3-4 芯片功耗估计及其组成</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2567"/>
        <w:gridCol w:w="1997"/>
        <w:gridCol w:w="4621"/>
      </w:tblGrid>
      <w:tr w14:paraId="6E0E1A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2567" w:type="dxa"/>
            <w:shd w:val="clear" w:color="auto" w:fill="E7EDF3"/>
            <w:vAlign w:val="center"/>
          </w:tcPr>
          <w:p w14:paraId="639815A5">
            <w:pPr>
              <w:keepNext/>
              <w:spacing w:after="0" w:line="276" w:lineRule="auto"/>
              <w:jc w:val="center"/>
            </w:pPr>
            <w:r>
              <w:rPr>
                <w:b/>
                <w:sz w:val="21"/>
              </w:rPr>
              <w:t>指标</w:t>
            </w:r>
          </w:p>
        </w:tc>
        <w:tc>
          <w:tcPr>
            <w:tcW w:w="1997" w:type="dxa"/>
            <w:shd w:val="clear" w:color="auto" w:fill="E7EDF3"/>
            <w:vAlign w:val="center"/>
          </w:tcPr>
          <w:p w14:paraId="5C8352C0">
            <w:pPr>
              <w:keepNext/>
              <w:spacing w:after="0" w:line="276" w:lineRule="auto"/>
              <w:jc w:val="center"/>
            </w:pPr>
            <w:r>
              <w:rPr>
                <w:b/>
                <w:sz w:val="21"/>
              </w:rPr>
              <w:t>数值</w:t>
            </w:r>
          </w:p>
        </w:tc>
        <w:tc>
          <w:tcPr>
            <w:tcW w:w="4621" w:type="dxa"/>
            <w:shd w:val="clear" w:color="auto" w:fill="E7EDF3"/>
            <w:vAlign w:val="center"/>
          </w:tcPr>
          <w:p w14:paraId="350A7A99">
            <w:pPr>
              <w:keepNext/>
              <w:spacing w:after="0" w:line="276" w:lineRule="auto"/>
              <w:jc w:val="center"/>
            </w:pPr>
            <w:r>
              <w:rPr>
                <w:b/>
                <w:sz w:val="21"/>
              </w:rPr>
              <w:t>来源与含义</w:t>
            </w:r>
          </w:p>
        </w:tc>
      </w:tr>
      <w:tr w14:paraId="6BD9E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567" w:type="dxa"/>
            <w:vAlign w:val="center"/>
          </w:tcPr>
          <w:p w14:paraId="2E0ED49D">
            <w:pPr>
              <w:keepNext/>
              <w:spacing w:after="0" w:line="276" w:lineRule="auto"/>
              <w:jc w:val="center"/>
            </w:pPr>
            <w:r>
              <w:rPr>
                <w:sz w:val="21"/>
              </w:rPr>
              <w:t>总芯片功耗</w:t>
            </w:r>
          </w:p>
        </w:tc>
        <w:tc>
          <w:tcPr>
            <w:tcW w:w="1997" w:type="dxa"/>
            <w:vAlign w:val="center"/>
          </w:tcPr>
          <w:p w14:paraId="09FF6195">
            <w:pPr>
              <w:keepNext/>
              <w:spacing w:after="0" w:line="276" w:lineRule="auto"/>
              <w:jc w:val="center"/>
            </w:pPr>
            <w:r>
              <w:rPr>
                <w:sz w:val="21"/>
              </w:rPr>
              <w:t>2.821 W</w:t>
            </w:r>
          </w:p>
        </w:tc>
        <w:tc>
          <w:tcPr>
            <w:tcW w:w="4621" w:type="dxa"/>
            <w:vAlign w:val="center"/>
          </w:tcPr>
          <w:p w14:paraId="254F3CBD">
            <w:pPr>
              <w:keepNext/>
              <w:spacing w:after="0" w:line="276" w:lineRule="auto"/>
              <w:jc w:val="center"/>
            </w:pPr>
            <w:r>
              <w:rPr>
                <w:sz w:val="21"/>
              </w:rPr>
              <w:t>实现后网表工具估计</w:t>
            </w:r>
          </w:p>
        </w:tc>
      </w:tr>
      <w:tr w14:paraId="6888DB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567" w:type="dxa"/>
            <w:vAlign w:val="center"/>
          </w:tcPr>
          <w:p w14:paraId="227B6B0E">
            <w:pPr>
              <w:keepNext/>
              <w:spacing w:after="0" w:line="276" w:lineRule="auto"/>
              <w:jc w:val="center"/>
            </w:pPr>
            <w:r>
              <w:rPr>
                <w:sz w:val="21"/>
              </w:rPr>
              <w:t>动态功耗</w:t>
            </w:r>
          </w:p>
        </w:tc>
        <w:tc>
          <w:tcPr>
            <w:tcW w:w="1997" w:type="dxa"/>
            <w:vAlign w:val="center"/>
          </w:tcPr>
          <w:p w14:paraId="73C6C556">
            <w:pPr>
              <w:keepNext/>
              <w:spacing w:after="0" w:line="276" w:lineRule="auto"/>
              <w:jc w:val="center"/>
            </w:pPr>
            <w:r>
              <w:rPr>
                <w:sz w:val="21"/>
              </w:rPr>
              <w:t>2.635 W</w:t>
            </w:r>
          </w:p>
        </w:tc>
        <w:tc>
          <w:tcPr>
            <w:tcW w:w="4621" w:type="dxa"/>
            <w:vAlign w:val="center"/>
          </w:tcPr>
          <w:p w14:paraId="2B8D587F">
            <w:pPr>
              <w:keepNext/>
              <w:spacing w:after="0" w:line="276" w:lineRule="auto"/>
              <w:jc w:val="center"/>
            </w:pPr>
            <w:r>
              <w:rPr>
                <w:sz w:val="21"/>
              </w:rPr>
              <w:t>与逻辑和信号活动有关的估计部分</w:t>
            </w:r>
          </w:p>
        </w:tc>
      </w:tr>
      <w:tr w14:paraId="3892AD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2567" w:type="dxa"/>
            <w:vAlign w:val="center"/>
          </w:tcPr>
          <w:p w14:paraId="65589AE7">
            <w:pPr>
              <w:spacing w:after="0" w:line="276" w:lineRule="auto"/>
              <w:jc w:val="center"/>
            </w:pPr>
            <w:r>
              <w:rPr>
                <w:sz w:val="21"/>
              </w:rPr>
              <w:t>器件静态功耗</w:t>
            </w:r>
          </w:p>
        </w:tc>
        <w:tc>
          <w:tcPr>
            <w:tcW w:w="1997" w:type="dxa"/>
            <w:vAlign w:val="center"/>
          </w:tcPr>
          <w:p w14:paraId="133B89FB">
            <w:pPr>
              <w:spacing w:after="0" w:line="276" w:lineRule="auto"/>
              <w:jc w:val="center"/>
            </w:pPr>
            <w:r>
              <w:rPr>
                <w:sz w:val="21"/>
              </w:rPr>
              <w:t>0.186 W</w:t>
            </w:r>
          </w:p>
        </w:tc>
        <w:tc>
          <w:tcPr>
            <w:tcW w:w="4621" w:type="dxa"/>
            <w:vAlign w:val="center"/>
          </w:tcPr>
          <w:p w14:paraId="6E291189">
            <w:pPr>
              <w:spacing w:after="0" w:line="276" w:lineRule="auto"/>
              <w:jc w:val="center"/>
            </w:pPr>
            <w:r>
              <w:rPr>
                <w:sz w:val="21"/>
              </w:rPr>
              <w:t>报告给出的静态部分</w:t>
            </w:r>
          </w:p>
        </w:tc>
      </w:tr>
    </w:tbl>
    <w:p w14:paraId="6E0A93A7">
      <w:pPr>
        <w:spacing w:after="0"/>
      </w:pPr>
    </w:p>
    <w:p w14:paraId="26CF549F">
      <w:pPr>
        <w:ind w:firstLine="482"/>
      </w:pPr>
      <w:r>
        <w:t>图中的时钟、信号、逻辑、BRAM、DSP 和 PS 比例表示动态功耗的内部构成，静态与动态功耗比例则以芯片总功耗为分母。由于各百分比的分母不同，解释时需要明确其统计范围。若要评价便携式导盲设备的续航能力，还应在空闲、检测、通信和运动等工作状态下测量整机输入功率，并记录状态占比。</w:t>
      </w:r>
    </w:p>
    <w:p w14:paraId="7AEE216A">
      <w:pPr>
        <w:pStyle w:val="4"/>
      </w:pPr>
      <w:bookmarkStart w:id="15" w:name="_Toc243777552"/>
      <w:r>
        <w:rPr>
          <w:rFonts w:ascii="Times New Roman" w:hAnsi="Times New Roman" w:eastAsia="黑体"/>
        </w:rPr>
        <w:t>3.5 实验结果的综合讨论</w:t>
      </w:r>
      <w:bookmarkEnd w:id="15"/>
    </w:p>
    <w:p w14:paraId="1C84CE8E">
      <w:pPr>
        <w:ind w:firstLine="482"/>
      </w:pPr>
      <w:r>
        <w:t>现有验证覆盖了多个可独立观测的环节：图像显示反映采集端输出，板上日志反映检测程序运行，ILA 波形反映接口活动，机械臂视频反映一次动作过程。这些证据能够支持系统组成和模块调试方法的说明，但尚未把各环节串联到同一时间轴上。当前阶段的主要缺口是缺少从连续输入、目标识别到提示或动作响应的任务级记录。</w:t>
      </w:r>
    </w:p>
    <w:p w14:paraId="2DF4D88E">
      <w:pPr>
        <w:ind w:firstLine="482"/>
      </w:pPr>
      <w:r>
        <w:t>对于导盲应用，目标框和类别还需要转化为与机器人行进方向相关的障碍描述。超声距离可以补充前向障碍信息，但前提是建立测量方向与图像区域之间的空间对应，并明确目标关联失败时的处理方式。机械臂抓取可以证明机器人具有执行能力，但抓取目标与导盲移动目标不同，不能直接用抓取动作替代导盲效果评价。</w:t>
      </w:r>
    </w:p>
    <w:p w14:paraId="2524978E">
      <w:pPr>
        <w:ind w:firstLine="482"/>
      </w:pPr>
      <w:r>
        <w:t>现有数据表明，该工程版本受到 DSP 资源余量小和单次推理耗时较长的共同约束。后续工作应先在统一工程版本下重复计时并核对输出，再开展连续输入测试。对于辅助融合，优先解决目标关联、类别适用性和定点数值一致性，比单纯提高单个样例的融合分数更有研究价值。</w:t>
      </w:r>
    </w:p>
    <w:p w14:paraId="07D6DF82">
      <w:pPr>
        <w:pStyle w:val="3"/>
        <w:pageBreakBefore/>
      </w:pPr>
      <w:bookmarkStart w:id="16" w:name="_Toc243777553"/>
      <w:r>
        <w:rPr>
          <w:rFonts w:ascii="Times New Roman" w:hAnsi="Times New Roman" w:eastAsia="黑体"/>
        </w:rPr>
        <w:t>4 总结与后续研究</w:t>
      </w:r>
      <w:bookmarkEnd w:id="16"/>
    </w:p>
    <w:p w14:paraId="59492530">
      <w:pPr>
        <w:pStyle w:val="4"/>
      </w:pPr>
      <w:bookmarkStart w:id="17" w:name="_Toc243777554"/>
      <w:r>
        <w:rPr>
          <w:rFonts w:ascii="Times New Roman" w:hAnsi="Times New Roman" w:eastAsia="黑体"/>
        </w:rPr>
        <w:t>4.1 当前工作总结</w:t>
      </w:r>
      <w:bookmarkEnd w:id="17"/>
    </w:p>
    <w:p w14:paraId="66248DA8">
      <w:pPr>
        <w:ind w:firstLine="482"/>
      </w:pPr>
      <w:r>
        <w:t>本项目围绕导盲领航的环境感知前端，完成了 Zynq-7020 平台上的 YOLOv4-tiny 硬件加速设计和辅助传感信息处理。现有工程形成了图像采集显示、板上检测输出、固定权重得分计算、串口与测距接口以及机器人动作演示等模块，并保留了资源、时序和功耗分析记录。</w:t>
      </w:r>
    </w:p>
    <w:p w14:paraId="235B6377">
      <w:pPr>
        <w:ind w:firstLine="482"/>
      </w:pPr>
      <w:r>
        <w:t>可复用算子和双缓冲结构面向有限器件资源下的计算与数据组织问题，传感器接口则扩展了系统能够获取的环境信息。现有结果足以说明模块功能和工程结构，但连续运行性能、总体检测效果和完整导盲任务仍缺少统一实验。本文将这些结果作为后续系统化验证的基线，而不把分项演示扩展为已完成的应用闭环。</w:t>
      </w:r>
    </w:p>
    <w:p w14:paraId="04038242">
      <w:pPr>
        <w:pStyle w:val="4"/>
      </w:pPr>
      <w:bookmarkStart w:id="18" w:name="_Toc243777555"/>
      <w:r>
        <w:rPr>
          <w:rFonts w:ascii="Times New Roman" w:hAnsi="Times New Roman" w:eastAsia="黑体"/>
        </w:rPr>
        <w:t>4.2 后续研究方向</w:t>
      </w:r>
      <w:bookmarkEnd w:id="18"/>
    </w:p>
    <w:p w14:paraId="15A8D008">
      <w:pPr>
        <w:ind w:firstLine="482"/>
      </w:pPr>
      <w:r>
        <w:t>感知有效性方面，应针对遮挡、弱光和传感信息不一致等条件，建立数据质量与时效性判定方法，明确各传感器的目标对应和类别适用条件。在此基础上，再比较固定权重、自适应权重和失效信息剔除对误检、漏检及类别混淆的影响。</w:t>
      </w:r>
    </w:p>
    <w:p w14:paraId="08418346">
      <w:pPr>
        <w:ind w:firstLine="482"/>
      </w:pPr>
      <w:r>
        <w:t>计算与资源方面，应以当前工程为基线，对算子配置、缓存组织和数值精度进行受控比较，并分别记录计算、搬运和同步时间。DSP 已接近器件上限，优化重点应放在数据复用、并行度分配和后处理开销上，避免仅增加并行乘加单元而导致资源不可实现。</w:t>
      </w:r>
    </w:p>
    <w:p w14:paraId="5455C907">
      <w:pPr>
        <w:ind w:firstLine="482"/>
      </w:pPr>
      <w:r>
        <w:t>应用闭环方面，应先在受控场景建立感知、障碍描述、提示和运动控制之间的连续验证，记录从输入到响应的时间、人工干预次数和任务完成情况，再逐步扩展到不同光照、遮挡和行进速度。这样可以区分感知误差、决策延迟和执行机构误差对导盲效果的影响。</w:t>
      </w:r>
    </w:p>
    <w:p w14:paraId="7A0DFF03">
      <w:pPr>
        <w:pStyle w:val="4"/>
      </w:pPr>
      <w:bookmarkStart w:id="19" w:name="_Toc243777556"/>
      <w:r>
        <w:rPr>
          <w:rFonts w:ascii="Times New Roman" w:hAnsi="Times New Roman" w:eastAsia="黑体"/>
        </w:rPr>
        <w:t>4.3 工程复现与验证安排</w:t>
      </w:r>
      <w:bookmarkEnd w:id="19"/>
    </w:p>
    <w:p w14:paraId="05FCFE65">
      <w:pPr>
        <w:ind w:firstLine="482"/>
      </w:pPr>
      <w:r>
        <w:t>完整复现需要同时保留源工程、模型权重、测试输入、器件约束、工具版本和构建运行步骤。程序截图可以说明实现思路，但不能替代可构建的软件和硬件工程。后续应统一各工程版本，并按照模块输出、检测结果和实物任务逐级核验，保证每一项结论都能对应到明确的输入和原始记录。</w:t>
      </w:r>
    </w:p>
    <w:p w14:paraId="55B8162C">
      <w:pPr>
        <w:ind w:firstLine="482"/>
      </w:pPr>
      <w:r>
        <w:t>工程构建、结果比对和故障排查流程可整理为可复用的实验资料。辅助工具可用于结构梳理、代码检查、指标核对和实验方案设计，但其建议必须回到实际工程中验证，并记录输入条件、参考输出和失效情形。最终形成的复现实验记录应能够说明哪些结果来自原始测量，哪些属于重新计算或待验证的设计方案。</w:t>
      </w:r>
    </w:p>
    <w:p w14:paraId="123779A4">
      <w:pPr>
        <w:pStyle w:val="4"/>
        <w:pageBreakBefore/>
      </w:pPr>
      <w:bookmarkStart w:id="20" w:name="_Toc243777557"/>
      <w:r>
        <w:rPr>
          <w:rFonts w:ascii="Times New Roman" w:hAnsi="Times New Roman" w:eastAsia="黑体"/>
        </w:rPr>
        <w:t>4.4 后续实验安排</w:t>
      </w:r>
      <w:bookmarkEnd w:id="20"/>
    </w:p>
    <w:p w14:paraId="75425261">
      <w:pPr>
        <w:ind w:firstLine="482"/>
      </w:pPr>
      <w:r>
        <w:t>为使后续研究能够回答明确问题，拟按表 4-1 逐项开展验证。表中项目属于实验计划，不作为已完成的性能结果。每次测试应记录输入样本、工程版本、参数设置、原始日志和异常情况，以便比较不同方案并复核结论。</w:t>
      </w:r>
    </w:p>
    <w:p w14:paraId="0C5F5039">
      <w:pPr>
        <w:pStyle w:val="15"/>
        <w:keepNext/>
        <w:jc w:val="center"/>
      </w:pPr>
      <w:r>
        <w:rPr>
          <w:b w:val="0"/>
        </w:rPr>
        <w:t>表4-1 后续实验问题与记录指标</w:t>
      </w:r>
    </w:p>
    <w:tbl>
      <w:tblPr>
        <w:tblStyle w:val="34"/>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825"/>
        <w:gridCol w:w="3537"/>
        <w:gridCol w:w="3822"/>
      </w:tblGrid>
      <w:tr w14:paraId="3655B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825" w:type="dxa"/>
            <w:shd w:val="clear" w:color="auto" w:fill="E7EDF3"/>
            <w:vAlign w:val="center"/>
          </w:tcPr>
          <w:p w14:paraId="3F954D49">
            <w:pPr>
              <w:keepNext/>
              <w:spacing w:after="0" w:line="276" w:lineRule="auto"/>
              <w:jc w:val="center"/>
            </w:pPr>
            <w:r>
              <w:rPr>
                <w:b/>
                <w:sz w:val="21"/>
              </w:rPr>
              <w:t>验证问题</w:t>
            </w:r>
          </w:p>
        </w:tc>
        <w:tc>
          <w:tcPr>
            <w:tcW w:w="3537" w:type="dxa"/>
            <w:shd w:val="clear" w:color="auto" w:fill="E7EDF3"/>
            <w:vAlign w:val="center"/>
          </w:tcPr>
          <w:p w14:paraId="5DC2B44C">
            <w:pPr>
              <w:keepNext/>
              <w:spacing w:after="0" w:line="276" w:lineRule="auto"/>
              <w:jc w:val="center"/>
            </w:pPr>
            <w:r>
              <w:rPr>
                <w:b/>
                <w:sz w:val="21"/>
              </w:rPr>
              <w:t>比较或测试条件</w:t>
            </w:r>
          </w:p>
        </w:tc>
        <w:tc>
          <w:tcPr>
            <w:tcW w:w="3822" w:type="dxa"/>
            <w:shd w:val="clear" w:color="auto" w:fill="E7EDF3"/>
            <w:vAlign w:val="center"/>
          </w:tcPr>
          <w:p w14:paraId="118BAC17">
            <w:pPr>
              <w:keepNext/>
              <w:spacing w:after="0" w:line="276" w:lineRule="auto"/>
              <w:jc w:val="center"/>
            </w:pPr>
            <w:r>
              <w:rPr>
                <w:b/>
                <w:sz w:val="21"/>
              </w:rPr>
              <w:t>主要记录指标</w:t>
            </w:r>
          </w:p>
        </w:tc>
      </w:tr>
      <w:tr w14:paraId="3E13FD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825" w:type="dxa"/>
            <w:vAlign w:val="center"/>
          </w:tcPr>
          <w:p w14:paraId="1183F3A5">
            <w:pPr>
              <w:keepNext/>
              <w:spacing w:after="0" w:line="276" w:lineRule="auto"/>
              <w:jc w:val="center"/>
            </w:pPr>
            <w:r>
              <w:rPr>
                <w:sz w:val="21"/>
              </w:rPr>
              <w:t>算子与缓冲的作用</w:t>
            </w:r>
          </w:p>
        </w:tc>
        <w:tc>
          <w:tcPr>
            <w:tcW w:w="3537" w:type="dxa"/>
            <w:vAlign w:val="center"/>
          </w:tcPr>
          <w:p w14:paraId="0E26B7A4">
            <w:pPr>
              <w:keepNext/>
              <w:spacing w:after="0" w:line="276" w:lineRule="auto"/>
              <w:jc w:val="center"/>
            </w:pPr>
            <w:r>
              <w:rPr>
                <w:sz w:val="21"/>
              </w:rPr>
              <w:t>同一器件、模型和输入下比较调度配置</w:t>
            </w:r>
          </w:p>
        </w:tc>
        <w:tc>
          <w:tcPr>
            <w:tcW w:w="3822" w:type="dxa"/>
            <w:vAlign w:val="center"/>
          </w:tcPr>
          <w:p w14:paraId="7E5FD8FA">
            <w:pPr>
              <w:keepNext/>
              <w:spacing w:after="0" w:line="276" w:lineRule="auto"/>
              <w:jc w:val="center"/>
            </w:pPr>
            <w:r>
              <w:rPr>
                <w:sz w:val="21"/>
              </w:rPr>
              <w:t>分段耗时、总处理时间、资源占用</w:t>
            </w:r>
          </w:p>
        </w:tc>
      </w:tr>
      <w:tr w14:paraId="2C44DD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825" w:type="dxa"/>
            <w:vAlign w:val="center"/>
          </w:tcPr>
          <w:p w14:paraId="1FE4D269">
            <w:pPr>
              <w:keepNext/>
              <w:spacing w:after="0" w:line="276" w:lineRule="auto"/>
              <w:jc w:val="center"/>
            </w:pPr>
            <w:r>
              <w:rPr>
                <w:sz w:val="21"/>
              </w:rPr>
              <w:t>辅助信息是否有效</w:t>
            </w:r>
          </w:p>
        </w:tc>
        <w:tc>
          <w:tcPr>
            <w:tcW w:w="3537" w:type="dxa"/>
            <w:vAlign w:val="center"/>
          </w:tcPr>
          <w:p w14:paraId="2868D3EC">
            <w:pPr>
              <w:keepNext/>
              <w:spacing w:after="0" w:line="276" w:lineRule="auto"/>
              <w:jc w:val="center"/>
            </w:pPr>
            <w:r>
              <w:rPr>
                <w:sz w:val="21"/>
              </w:rPr>
              <w:t>同一标注集比较纯视觉与固定权重方案</w:t>
            </w:r>
          </w:p>
        </w:tc>
        <w:tc>
          <w:tcPr>
            <w:tcW w:w="3822" w:type="dxa"/>
            <w:vAlign w:val="center"/>
          </w:tcPr>
          <w:p w14:paraId="5896CD0A">
            <w:pPr>
              <w:keepNext/>
              <w:spacing w:after="0" w:line="276" w:lineRule="auto"/>
              <w:jc w:val="center"/>
            </w:pPr>
            <w:r>
              <w:rPr>
                <w:sz w:val="21"/>
              </w:rPr>
              <w:t>误检、漏检、检测精度及类别差异</w:t>
            </w:r>
          </w:p>
        </w:tc>
      </w:tr>
      <w:tr w14:paraId="19ECCE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825" w:type="dxa"/>
            <w:vAlign w:val="center"/>
          </w:tcPr>
          <w:p w14:paraId="68EC0AE0">
            <w:pPr>
              <w:keepNext/>
              <w:spacing w:after="0" w:line="276" w:lineRule="auto"/>
              <w:jc w:val="center"/>
            </w:pPr>
            <w:r>
              <w:rPr>
                <w:sz w:val="21"/>
              </w:rPr>
              <w:t>信息异常如何影响输出</w:t>
            </w:r>
          </w:p>
        </w:tc>
        <w:tc>
          <w:tcPr>
            <w:tcW w:w="3537" w:type="dxa"/>
            <w:vAlign w:val="center"/>
          </w:tcPr>
          <w:p w14:paraId="426A1D06">
            <w:pPr>
              <w:keepNext/>
              <w:spacing w:after="0" w:line="276" w:lineRule="auto"/>
              <w:jc w:val="center"/>
            </w:pPr>
            <w:r>
              <w:rPr>
                <w:sz w:val="21"/>
              </w:rPr>
              <w:t>受控断连、过期和错误距离输入</w:t>
            </w:r>
          </w:p>
        </w:tc>
        <w:tc>
          <w:tcPr>
            <w:tcW w:w="3822" w:type="dxa"/>
            <w:vAlign w:val="center"/>
          </w:tcPr>
          <w:p w14:paraId="7BE84D5C">
            <w:pPr>
              <w:keepNext/>
              <w:spacing w:after="0" w:line="276" w:lineRule="auto"/>
              <w:jc w:val="center"/>
            </w:pPr>
            <w:r>
              <w:rPr>
                <w:sz w:val="21"/>
              </w:rPr>
              <w:t>异常识别、恢复时间、输出变化</w:t>
            </w:r>
          </w:p>
        </w:tc>
      </w:tr>
      <w:tr w14:paraId="769863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825" w:type="dxa"/>
            <w:vAlign w:val="center"/>
          </w:tcPr>
          <w:p w14:paraId="2CCD9076">
            <w:pPr>
              <w:keepNext/>
              <w:spacing w:after="0" w:line="276" w:lineRule="auto"/>
              <w:jc w:val="center"/>
            </w:pPr>
            <w:r>
              <w:rPr>
                <w:sz w:val="21"/>
              </w:rPr>
              <w:t>连续处理是否稳定</w:t>
            </w:r>
          </w:p>
        </w:tc>
        <w:tc>
          <w:tcPr>
            <w:tcW w:w="3537" w:type="dxa"/>
            <w:vAlign w:val="center"/>
          </w:tcPr>
          <w:p w14:paraId="652BBC75">
            <w:pPr>
              <w:keepNext/>
              <w:spacing w:after="0" w:line="276" w:lineRule="auto"/>
              <w:jc w:val="center"/>
            </w:pPr>
            <w:r>
              <w:rPr>
                <w:sz w:val="21"/>
              </w:rPr>
              <w:t>连续图像输入与统一起止点计时</w:t>
            </w:r>
          </w:p>
        </w:tc>
        <w:tc>
          <w:tcPr>
            <w:tcW w:w="3822" w:type="dxa"/>
            <w:vAlign w:val="center"/>
          </w:tcPr>
          <w:p w14:paraId="59E9BA2E">
            <w:pPr>
              <w:keepNext/>
              <w:spacing w:after="0" w:line="276" w:lineRule="auto"/>
              <w:jc w:val="center"/>
            </w:pPr>
            <w:r>
              <w:rPr>
                <w:sz w:val="21"/>
              </w:rPr>
              <w:t>吞吐率、延迟分布、丢帧与运行时长</w:t>
            </w:r>
          </w:p>
        </w:tc>
      </w:tr>
      <w:tr w14:paraId="2BEEB1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825" w:type="dxa"/>
            <w:vAlign w:val="center"/>
          </w:tcPr>
          <w:p w14:paraId="4F22C2B1">
            <w:pPr>
              <w:spacing w:after="0" w:line="276" w:lineRule="auto"/>
              <w:jc w:val="center"/>
            </w:pPr>
            <w:r>
              <w:rPr>
                <w:sz w:val="21"/>
              </w:rPr>
              <w:t>能否支撑导盲任务</w:t>
            </w:r>
          </w:p>
        </w:tc>
        <w:tc>
          <w:tcPr>
            <w:tcW w:w="3537" w:type="dxa"/>
            <w:vAlign w:val="center"/>
          </w:tcPr>
          <w:p w14:paraId="0393E36F">
            <w:pPr>
              <w:spacing w:after="0" w:line="276" w:lineRule="auto"/>
              <w:jc w:val="center"/>
            </w:pPr>
            <w:r>
              <w:rPr>
                <w:sz w:val="21"/>
              </w:rPr>
              <w:t>受控场景下连接感知与提示流程</w:t>
            </w:r>
          </w:p>
        </w:tc>
        <w:tc>
          <w:tcPr>
            <w:tcW w:w="3822" w:type="dxa"/>
            <w:vAlign w:val="center"/>
          </w:tcPr>
          <w:p w14:paraId="5B88D8B6">
            <w:pPr>
              <w:spacing w:after="0" w:line="276" w:lineRule="auto"/>
              <w:jc w:val="center"/>
            </w:pPr>
            <w:r>
              <w:rPr>
                <w:sz w:val="21"/>
              </w:rPr>
              <w:t>响应延迟、人工干预、任务完成情况</w:t>
            </w:r>
          </w:p>
        </w:tc>
      </w:tr>
    </w:tbl>
    <w:p w14:paraId="7F1F7771">
      <w:pPr>
        <w:spacing w:after="0"/>
      </w:pPr>
    </w:p>
    <w:p w14:paraId="753633D7">
      <w:pPr>
        <w:ind w:firstLine="482"/>
      </w:pPr>
      <w:r>
        <w:t>验证顺序由模块正确性逐步推进至应用任务。首先检查算法输出与软件参考值是否一致，再比较不同算子和缓存配置的延迟与资源；待感知与提示接口稳定后，再扩展到受控移动任务。分阶段验证能够将算法、接口和执行机构造成的影响分离，避免用单一演示结果解释整个导盲系统的性能。</w:t>
      </w:r>
    </w:p>
    <w:p w14:paraId="3B6FC0CF">
      <w:pPr>
        <w:pStyle w:val="3"/>
        <w:pageBreakBefore/>
      </w:pPr>
      <w:bookmarkStart w:id="21" w:name="_Toc243777558"/>
      <w:r>
        <w:rPr>
          <w:rFonts w:ascii="Times New Roman" w:hAnsi="Times New Roman" w:eastAsia="黑体"/>
        </w:rPr>
        <w:t>参考文献</w:t>
      </w:r>
      <w:bookmarkEnd w:id="21"/>
    </w:p>
    <w:p w14:paraId="494488DC">
      <w:pPr>
        <w:ind w:left="369" w:hanging="369"/>
        <w:jc w:val="left"/>
      </w:pPr>
      <w:r>
        <w:rPr>
          <w:sz w:val="21"/>
        </w:rPr>
        <w:t>[1] Bochkovskiy A, Wang C Y, Liao H Y M. YOLOv4: Optimal Speed and Accuracy of Object Detection. arXiv:2004.10934, 2020.</w:t>
      </w:r>
    </w:p>
    <w:p w14:paraId="65433A95">
      <w:pPr>
        <w:ind w:left="369" w:hanging="369"/>
        <w:jc w:val="left"/>
      </w:pPr>
      <w:r>
        <w:rPr>
          <w:sz w:val="21"/>
        </w:rPr>
        <w:t>[2] 郭良蛟. 基于FPGA的高性能MobileNet硬件加速器[D]. 南京大学, 2020. DOI:10.27235/d.cnki.gnjiu.2020.000861.</w:t>
      </w:r>
    </w:p>
    <w:p w14:paraId="5F2B5E16">
      <w:pPr>
        <w:ind w:left="369" w:hanging="369"/>
        <w:jc w:val="left"/>
      </w:pPr>
      <w:r>
        <w:rPr>
          <w:sz w:val="21"/>
        </w:rPr>
        <w:t>[3] Xu M, Zhu W, Zou Y. Design of a Reconfigurable Robot Controller Based on FPGA[C]. 2008 Fifth IEEE International Symposium on Embedded Computing, 2008: 216–222.</w:t>
      </w:r>
    </w:p>
    <w:p w14:paraId="1DC56AC7">
      <w:pPr>
        <w:ind w:left="369" w:hanging="369"/>
        <w:jc w:val="left"/>
      </w:pPr>
      <w:r>
        <w:rPr>
          <w:sz w:val="21"/>
        </w:rPr>
        <w:t>[4] Song T, Li D, Yao Y. Multi-source data oriented flexible real-time information fusion platform on FPGA[C]. 2011 International Conference on Electronics, Communications and Control, 2011: 4401–4404.</w:t>
      </w:r>
    </w:p>
    <w:p w14:paraId="5E855DFD">
      <w:pPr>
        <w:pStyle w:val="3"/>
        <w:pageBreakBefore/>
      </w:pPr>
      <w:bookmarkStart w:id="22" w:name="_Toc243777559"/>
      <w:r>
        <w:rPr>
          <w:rFonts w:ascii="Times New Roman" w:hAnsi="Times New Roman" w:eastAsia="黑体"/>
        </w:rPr>
        <w:t>附录 程序与接口设计摘录</w:t>
      </w:r>
      <w:bookmarkEnd w:id="22"/>
    </w:p>
    <w:p w14:paraId="3D739C8F">
      <w:pPr>
        <w:pStyle w:val="4"/>
      </w:pPr>
      <w:bookmarkStart w:id="23" w:name="_Toc243777560"/>
      <w:r>
        <w:rPr>
          <w:rFonts w:ascii="Times New Roman" w:hAnsi="Times New Roman" w:eastAsia="黑体"/>
        </w:rPr>
        <w:t>A 摄像头采集与图像预处理</w:t>
      </w:r>
      <w:bookmarkEnd w:id="23"/>
    </w:p>
    <w:p w14:paraId="1749F823">
      <w:r>
        <w:rPr>
          <w:sz w:val="20"/>
        </w:rPr>
        <w:t>本附录保留原工程中的程序截图，用于说明摄像头采集、图像保存和数据转换的处理顺序。</w:t>
      </w:r>
    </w:p>
    <w:p w14:paraId="0BC1168F">
      <w:pPr>
        <w:keepNext/>
        <w:spacing w:after="40"/>
        <w:jc w:val="center"/>
      </w:pPr>
      <w:r>
        <w:drawing>
          <wp:inline distT="0" distB="0" distL="0" distR="0">
            <wp:extent cx="5008880" cy="4319905"/>
            <wp:effectExtent l="0" t="0" r="0" b="0"/>
            <wp:docPr id="34" name="Picture 34"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项目原始设计、实验记录或程序摘录"/>
                    <pic:cNvPicPr>
                      <a:picLocks noChangeAspect="1"/>
                    </pic:cNvPicPr>
                  </pic:nvPicPr>
                  <pic:blipFill>
                    <a:blip r:embed="rId42"/>
                    <a:stretch>
                      <a:fillRect/>
                    </a:stretch>
                  </pic:blipFill>
                  <pic:spPr>
                    <a:xfrm>
                      <a:off x="0" y="0"/>
                      <a:ext cx="5009454" cy="4320000"/>
                    </a:xfrm>
                    <a:prstGeom prst="rect">
                      <a:avLst/>
                    </a:prstGeom>
                  </pic:spPr>
                </pic:pic>
              </a:graphicData>
            </a:graphic>
          </wp:inline>
        </w:drawing>
      </w:r>
    </w:p>
    <w:p w14:paraId="098B1623">
      <w:pPr>
        <w:pStyle w:val="15"/>
        <w:jc w:val="center"/>
      </w:pPr>
      <w:r>
        <w:rPr>
          <w:b w:val="0"/>
        </w:rPr>
        <w:t>图A-1 摄像头采集主程序摘录</w:t>
      </w:r>
    </w:p>
    <w:p w14:paraId="37DCFA4F">
      <w:pPr>
        <w:keepNext/>
        <w:spacing w:after="40"/>
        <w:jc w:val="center"/>
      </w:pPr>
      <w:r>
        <w:drawing>
          <wp:inline distT="0" distB="0" distL="0" distR="0">
            <wp:extent cx="3313430" cy="2159635"/>
            <wp:effectExtent l="0" t="0" r="0" b="0"/>
            <wp:docPr id="35" name="Picture 35"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项目原始设计、实验记录或程序摘录"/>
                    <pic:cNvPicPr>
                      <a:picLocks noChangeAspect="1"/>
                    </pic:cNvPicPr>
                  </pic:nvPicPr>
                  <pic:blipFill>
                    <a:blip r:embed="rId43"/>
                    <a:stretch>
                      <a:fillRect/>
                    </a:stretch>
                  </pic:blipFill>
                  <pic:spPr>
                    <a:xfrm>
                      <a:off x="0" y="0"/>
                      <a:ext cx="3313432" cy="2159999"/>
                    </a:xfrm>
                    <a:prstGeom prst="rect">
                      <a:avLst/>
                    </a:prstGeom>
                  </pic:spPr>
                </pic:pic>
              </a:graphicData>
            </a:graphic>
          </wp:inline>
        </w:drawing>
      </w:r>
    </w:p>
    <w:p w14:paraId="337B6804">
      <w:pPr>
        <w:pStyle w:val="15"/>
        <w:jc w:val="center"/>
      </w:pPr>
      <w:r>
        <w:rPr>
          <w:b w:val="0"/>
        </w:rPr>
        <w:t>图A-2 BMP文件写入程序摘录</w:t>
      </w:r>
    </w:p>
    <w:p w14:paraId="20522797">
      <w:pPr>
        <w:pStyle w:val="5"/>
      </w:pPr>
      <w:r>
        <w:rPr>
          <w:rFonts w:ascii="Times New Roman" w:hAnsi="Times New Roman" w:eastAsia="黑体"/>
        </w:rPr>
        <w:t>图像数据转换程序</w:t>
      </w:r>
    </w:p>
    <w:p w14:paraId="0AC57FEF">
      <w:pPr>
        <w:keepNext/>
        <w:spacing w:after="40"/>
        <w:jc w:val="center"/>
      </w:pPr>
      <w:r>
        <w:drawing>
          <wp:inline distT="0" distB="0" distL="0" distR="0">
            <wp:extent cx="4014470" cy="3959860"/>
            <wp:effectExtent l="0" t="0" r="0" b="0"/>
            <wp:docPr id="36" name="Picture 36"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项目原始设计、实验记录或程序摘录"/>
                    <pic:cNvPicPr>
                      <a:picLocks noChangeAspect="1"/>
                    </pic:cNvPicPr>
                  </pic:nvPicPr>
                  <pic:blipFill>
                    <a:blip r:embed="rId44"/>
                    <a:stretch>
                      <a:fillRect/>
                    </a:stretch>
                  </pic:blipFill>
                  <pic:spPr>
                    <a:xfrm>
                      <a:off x="0" y="0"/>
                      <a:ext cx="4015000" cy="3960000"/>
                    </a:xfrm>
                    <a:prstGeom prst="rect">
                      <a:avLst/>
                    </a:prstGeom>
                  </pic:spPr>
                </pic:pic>
              </a:graphicData>
            </a:graphic>
          </wp:inline>
        </w:drawing>
      </w:r>
    </w:p>
    <w:p w14:paraId="55C9B084">
      <w:pPr>
        <w:pStyle w:val="15"/>
        <w:jc w:val="center"/>
      </w:pPr>
      <w:r>
        <w:rPr>
          <w:b w:val="0"/>
        </w:rPr>
        <w:t>图A-3 图像预处理程序摘录之一</w:t>
      </w:r>
    </w:p>
    <w:p w14:paraId="358596BD">
      <w:pPr>
        <w:keepNext/>
        <w:spacing w:after="40"/>
        <w:jc w:val="center"/>
      </w:pPr>
      <w:r>
        <w:drawing>
          <wp:inline distT="0" distB="0" distL="0" distR="0">
            <wp:extent cx="3388995" cy="3959860"/>
            <wp:effectExtent l="0" t="0" r="0" b="0"/>
            <wp:docPr id="37" name="Picture 37"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项目原始设计、实验记录或程序摘录"/>
                    <pic:cNvPicPr>
                      <a:picLocks noChangeAspect="1"/>
                    </pic:cNvPicPr>
                  </pic:nvPicPr>
                  <pic:blipFill>
                    <a:blip r:embed="rId45"/>
                    <a:stretch>
                      <a:fillRect/>
                    </a:stretch>
                  </pic:blipFill>
                  <pic:spPr>
                    <a:xfrm>
                      <a:off x="0" y="0"/>
                      <a:ext cx="3389542" cy="3959999"/>
                    </a:xfrm>
                    <a:prstGeom prst="rect">
                      <a:avLst/>
                    </a:prstGeom>
                  </pic:spPr>
                </pic:pic>
              </a:graphicData>
            </a:graphic>
          </wp:inline>
        </w:drawing>
      </w:r>
    </w:p>
    <w:p w14:paraId="60F4A1E1">
      <w:pPr>
        <w:pStyle w:val="15"/>
        <w:jc w:val="center"/>
      </w:pPr>
      <w:r>
        <w:rPr>
          <w:b w:val="0"/>
        </w:rPr>
        <w:t>图A-4 图像预处理程序摘录之二</w:t>
      </w:r>
    </w:p>
    <w:p w14:paraId="23F3310C">
      <w:pPr>
        <w:pStyle w:val="4"/>
      </w:pPr>
      <w:bookmarkStart w:id="24" w:name="_Toc243777561"/>
      <w:r>
        <w:rPr>
          <w:rFonts w:ascii="Times New Roman" w:hAnsi="Times New Roman" w:eastAsia="黑体"/>
        </w:rPr>
        <w:t>B 目标检测程序</w:t>
      </w:r>
      <w:bookmarkEnd w:id="24"/>
    </w:p>
    <w:p w14:paraId="43AD59F3">
      <w:pPr>
        <w:keepNext/>
        <w:spacing w:after="40"/>
        <w:jc w:val="center"/>
      </w:pPr>
      <w:r>
        <w:drawing>
          <wp:inline distT="0" distB="0" distL="0" distR="0">
            <wp:extent cx="3823970" cy="2339975"/>
            <wp:effectExtent l="0" t="0" r="0" b="0"/>
            <wp:docPr id="38" name="Picture 38"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项目原始设计、实验记录或程序摘录"/>
                    <pic:cNvPicPr>
                      <a:picLocks noChangeAspect="1"/>
                    </pic:cNvPicPr>
                  </pic:nvPicPr>
                  <pic:blipFill>
                    <a:blip r:embed="rId46"/>
                    <a:stretch>
                      <a:fillRect/>
                    </a:stretch>
                  </pic:blipFill>
                  <pic:spPr>
                    <a:xfrm>
                      <a:off x="0" y="0"/>
                      <a:ext cx="3824015" cy="2339999"/>
                    </a:xfrm>
                    <a:prstGeom prst="rect">
                      <a:avLst/>
                    </a:prstGeom>
                  </pic:spPr>
                </pic:pic>
              </a:graphicData>
            </a:graphic>
          </wp:inline>
        </w:drawing>
      </w:r>
    </w:p>
    <w:p w14:paraId="6C6088C8">
      <w:pPr>
        <w:pStyle w:val="15"/>
        <w:jc w:val="center"/>
      </w:pPr>
      <w:r>
        <w:rPr>
          <w:b w:val="0"/>
        </w:rPr>
        <w:t>图B-1 BIN数据文件写入程序摘录</w:t>
      </w:r>
    </w:p>
    <w:p w14:paraId="4E6C41C3">
      <w:pPr>
        <w:keepNext/>
        <w:spacing w:after="40"/>
        <w:jc w:val="center"/>
      </w:pPr>
      <w:r>
        <w:drawing>
          <wp:inline distT="0" distB="0" distL="0" distR="0">
            <wp:extent cx="2858135" cy="1979930"/>
            <wp:effectExtent l="0" t="0" r="0" b="0"/>
            <wp:docPr id="39" name="Picture 39"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项目原始设计、实验记录或程序摘录"/>
                    <pic:cNvPicPr>
                      <a:picLocks noChangeAspect="1"/>
                    </pic:cNvPicPr>
                  </pic:nvPicPr>
                  <pic:blipFill>
                    <a:blip r:embed="rId47"/>
                    <a:stretch>
                      <a:fillRect/>
                    </a:stretch>
                  </pic:blipFill>
                  <pic:spPr>
                    <a:xfrm>
                      <a:off x="0" y="0"/>
                      <a:ext cx="2858698" cy="1980000"/>
                    </a:xfrm>
                    <a:prstGeom prst="rect">
                      <a:avLst/>
                    </a:prstGeom>
                  </pic:spPr>
                </pic:pic>
              </a:graphicData>
            </a:graphic>
          </wp:inline>
        </w:drawing>
      </w:r>
    </w:p>
    <w:p w14:paraId="2A23BF44">
      <w:pPr>
        <w:pStyle w:val="15"/>
        <w:jc w:val="center"/>
      </w:pPr>
      <w:r>
        <w:rPr>
          <w:b w:val="0"/>
        </w:rPr>
        <w:t>图B-2 模型测试入口程序摘录</w:t>
      </w:r>
    </w:p>
    <w:p w14:paraId="386D5CFC">
      <w:pPr>
        <w:keepNext/>
        <w:spacing w:after="40"/>
        <w:jc w:val="center"/>
      </w:pPr>
      <w:r>
        <w:drawing>
          <wp:inline distT="0" distB="0" distL="0" distR="0">
            <wp:extent cx="5601970" cy="3599815"/>
            <wp:effectExtent l="0" t="0" r="0" b="0"/>
            <wp:docPr id="40" name="Picture 40"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项目原始设计、实验记录或程序摘录"/>
                    <pic:cNvPicPr>
                      <a:picLocks noChangeAspect="1"/>
                    </pic:cNvPicPr>
                  </pic:nvPicPr>
                  <pic:blipFill>
                    <a:blip r:embed="rId48"/>
                    <a:stretch>
                      <a:fillRect/>
                    </a:stretch>
                  </pic:blipFill>
                  <pic:spPr>
                    <a:xfrm>
                      <a:off x="0" y="0"/>
                      <a:ext cx="5602040" cy="3600000"/>
                    </a:xfrm>
                    <a:prstGeom prst="rect">
                      <a:avLst/>
                    </a:prstGeom>
                  </pic:spPr>
                </pic:pic>
              </a:graphicData>
            </a:graphic>
          </wp:inline>
        </w:drawing>
      </w:r>
    </w:p>
    <w:p w14:paraId="5694FBBF">
      <w:pPr>
        <w:pStyle w:val="15"/>
        <w:jc w:val="center"/>
      </w:pPr>
      <w:r>
        <w:rPr>
          <w:b w:val="0"/>
        </w:rPr>
        <w:t>图B-3 前向计算与计时程序摘录</w:t>
      </w:r>
    </w:p>
    <w:p w14:paraId="2C8AC42D">
      <w:pPr>
        <w:keepNext/>
        <w:spacing w:after="40"/>
        <w:jc w:val="center"/>
      </w:pPr>
      <w:r>
        <w:drawing>
          <wp:inline distT="0" distB="0" distL="0" distR="0">
            <wp:extent cx="5462905" cy="2663825"/>
            <wp:effectExtent l="0" t="0" r="0" b="0"/>
            <wp:docPr id="41" name="Picture 41"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项目原始设计、实验记录或程序摘录"/>
                    <pic:cNvPicPr>
                      <a:picLocks noChangeAspect="1"/>
                    </pic:cNvPicPr>
                  </pic:nvPicPr>
                  <pic:blipFill>
                    <a:blip r:embed="rId49"/>
                    <a:stretch>
                      <a:fillRect/>
                    </a:stretch>
                  </pic:blipFill>
                  <pic:spPr>
                    <a:xfrm>
                      <a:off x="0" y="0"/>
                      <a:ext cx="5463228" cy="2664000"/>
                    </a:xfrm>
                    <a:prstGeom prst="rect">
                      <a:avLst/>
                    </a:prstGeom>
                  </pic:spPr>
                </pic:pic>
              </a:graphicData>
            </a:graphic>
          </wp:inline>
        </w:drawing>
      </w:r>
    </w:p>
    <w:p w14:paraId="6294BA80">
      <w:pPr>
        <w:pStyle w:val="15"/>
        <w:jc w:val="center"/>
      </w:pPr>
      <w:r>
        <w:rPr>
          <w:b w:val="0"/>
        </w:rPr>
        <w:t>图B-4 输出转换 解码与NMS程序摘录</w:t>
      </w:r>
    </w:p>
    <w:p w14:paraId="7EC3BDA0">
      <w:pPr>
        <w:ind w:firstLine="482"/>
      </w:pPr>
      <w:r>
        <w:t>图 B-3 的计时区间围绕前向计算及相关缓存操作，图 B-4 另行记录后处理时长。后续测试应统一程序中的起止点，并在完整日志中区分单次计算、连续吞吐和端到端响应，以避免不同统计范围之间的直接比较。</w:t>
      </w:r>
    </w:p>
    <w:p w14:paraId="364EB05E">
      <w:pPr>
        <w:pStyle w:val="4"/>
        <w:pageBreakBefore/>
      </w:pPr>
      <w:bookmarkStart w:id="25" w:name="_Toc243777562"/>
      <w:r>
        <w:rPr>
          <w:rFonts w:ascii="Times New Roman" w:hAnsi="Times New Roman" w:eastAsia="黑体"/>
        </w:rPr>
        <w:t>C 辅助得分处理程序</w:t>
      </w:r>
      <w:bookmarkEnd w:id="25"/>
    </w:p>
    <w:p w14:paraId="03D0C8C4">
      <w:pPr>
        <w:ind w:firstLine="440" w:firstLineChars="200"/>
      </w:pPr>
      <w:r>
        <w:rPr>
          <w:sz w:val="22"/>
        </w:rPr>
        <w:t>以下截图作为历史设计片段保留，用于说明辅助得分接口和状态处理方式。截图中 score_final 附近包含 85/100 等整数比例表达式；按照整数运算语义，该类商可能被截断为 0，因而不能直接表达 0.85。其他参数也存在整数比值表达小数的情况，需结合位宽、编译语义和综合结果核对其实际行为。上述代码片段不能独立证明固定权重已经在硬件中正确实现。</w:t>
      </w:r>
    </w:p>
    <w:p w14:paraId="7BB2A6AB">
      <w:pPr>
        <w:ind w:firstLine="440" w:firstLineChars="200"/>
      </w:pPr>
      <w:r>
        <w:rPr>
          <w:sz w:val="22"/>
        </w:rPr>
        <w:t>后续工程核对应先统一定点缩放因子和数据位宽，保留乘法中间结果，再执行约定的舍入与饱和处理，并使用边界输入和软件参考值逐项比较。本文保留原始截图以说明待核对的实现位置，未将修改方案表述为已经完成的源工程。</w:t>
      </w:r>
    </w:p>
    <w:p w14:paraId="0FB0F96B">
      <w:pPr>
        <w:keepNext/>
        <w:jc w:val="center"/>
      </w:pPr>
      <w:r>
        <w:drawing>
          <wp:inline distT="0" distB="0" distL="0" distR="0">
            <wp:extent cx="1337310" cy="4139565"/>
            <wp:effectExtent l="0" t="0" r="0" b="0"/>
            <wp:docPr id="42" name="Picture 42"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项目原始设计、实验记录或程序摘录"/>
                    <pic:cNvPicPr>
                      <a:picLocks noChangeAspect="1"/>
                    </pic:cNvPicPr>
                  </pic:nvPicPr>
                  <pic:blipFill>
                    <a:blip r:embed="rId50"/>
                    <a:stretch>
                      <a:fillRect/>
                    </a:stretch>
                  </pic:blipFill>
                  <pic:spPr>
                    <a:xfrm>
                      <a:off x="0" y="0"/>
                      <a:ext cx="1337359" cy="4139998"/>
                    </a:xfrm>
                    <a:prstGeom prst="rect">
                      <a:avLst/>
                    </a:prstGeom>
                  </pic:spPr>
                </pic:pic>
              </a:graphicData>
            </a:graphic>
          </wp:inline>
        </w:drawing>
      </w:r>
      <w:r>
        <w:t xml:space="preserve">  </w:t>
      </w:r>
      <w:r>
        <w:drawing>
          <wp:inline distT="0" distB="0" distL="0" distR="0">
            <wp:extent cx="1588135" cy="4139565"/>
            <wp:effectExtent l="0" t="0" r="0" b="0"/>
            <wp:docPr id="43" name="Picture 43"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项目原始设计、实验记录或程序摘录"/>
                    <pic:cNvPicPr>
                      <a:picLocks noChangeAspect="1"/>
                    </pic:cNvPicPr>
                  </pic:nvPicPr>
                  <pic:blipFill>
                    <a:blip r:embed="rId51"/>
                    <a:stretch>
                      <a:fillRect/>
                    </a:stretch>
                  </pic:blipFill>
                  <pic:spPr>
                    <a:xfrm>
                      <a:off x="0" y="0"/>
                      <a:ext cx="1588171" cy="4139998"/>
                    </a:xfrm>
                    <a:prstGeom prst="rect">
                      <a:avLst/>
                    </a:prstGeom>
                  </pic:spPr>
                </pic:pic>
              </a:graphicData>
            </a:graphic>
          </wp:inline>
        </w:drawing>
      </w:r>
    </w:p>
    <w:p w14:paraId="135D24C3">
      <w:pPr>
        <w:pStyle w:val="15"/>
        <w:jc w:val="center"/>
      </w:pPr>
      <w:r>
        <w:rPr>
          <w:b w:val="0"/>
        </w:rPr>
        <w:t>图C-1 辅助得分处理模块定义摘录</w:t>
      </w:r>
    </w:p>
    <w:p w14:paraId="77580ABA">
      <w:pPr>
        <w:keepNext/>
        <w:spacing w:after="40"/>
        <w:jc w:val="center"/>
      </w:pPr>
      <w:r>
        <w:drawing>
          <wp:inline distT="0" distB="0" distL="0" distR="0">
            <wp:extent cx="2708910" cy="6119495"/>
            <wp:effectExtent l="0" t="0" r="0" b="0"/>
            <wp:docPr id="44" name="Picture 44"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项目原始设计、实验记录或程序摘录"/>
                    <pic:cNvPicPr>
                      <a:picLocks noChangeAspect="1"/>
                    </pic:cNvPicPr>
                  </pic:nvPicPr>
                  <pic:blipFill>
                    <a:blip r:embed="rId52"/>
                    <a:stretch>
                      <a:fillRect/>
                    </a:stretch>
                  </pic:blipFill>
                  <pic:spPr>
                    <a:xfrm>
                      <a:off x="0" y="0"/>
                      <a:ext cx="2709343" cy="6119998"/>
                    </a:xfrm>
                    <a:prstGeom prst="rect">
                      <a:avLst/>
                    </a:prstGeom>
                  </pic:spPr>
                </pic:pic>
              </a:graphicData>
            </a:graphic>
          </wp:inline>
        </w:drawing>
      </w:r>
    </w:p>
    <w:p w14:paraId="07A08320">
      <w:pPr>
        <w:pStyle w:val="15"/>
        <w:jc w:val="center"/>
      </w:pPr>
      <w:r>
        <w:rPr>
          <w:b w:val="0"/>
        </w:rPr>
        <w:t>图C-2 辅助得分状态与数据处理摘录之一</w:t>
      </w:r>
    </w:p>
    <w:p w14:paraId="33D3185A">
      <w:pPr>
        <w:keepNext/>
        <w:spacing w:after="40"/>
        <w:jc w:val="center"/>
      </w:pPr>
      <w:r>
        <w:drawing>
          <wp:inline distT="0" distB="0" distL="0" distR="0">
            <wp:extent cx="3922395" cy="6119495"/>
            <wp:effectExtent l="0" t="0" r="0" b="0"/>
            <wp:docPr id="45" name="Picture 45"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项目原始设计、实验记录或程序摘录"/>
                    <pic:cNvPicPr>
                      <a:picLocks noChangeAspect="1"/>
                    </pic:cNvPicPr>
                  </pic:nvPicPr>
                  <pic:blipFill>
                    <a:blip r:embed="rId53"/>
                    <a:stretch>
                      <a:fillRect/>
                    </a:stretch>
                  </pic:blipFill>
                  <pic:spPr>
                    <a:xfrm>
                      <a:off x="0" y="0"/>
                      <a:ext cx="3922471" cy="6120000"/>
                    </a:xfrm>
                    <a:prstGeom prst="rect">
                      <a:avLst/>
                    </a:prstGeom>
                  </pic:spPr>
                </pic:pic>
              </a:graphicData>
            </a:graphic>
          </wp:inline>
        </w:drawing>
      </w:r>
    </w:p>
    <w:p w14:paraId="4459F13D">
      <w:pPr>
        <w:pStyle w:val="15"/>
        <w:jc w:val="center"/>
      </w:pPr>
      <w:r>
        <w:rPr>
          <w:b w:val="0"/>
        </w:rPr>
        <w:t>图C-3 辅助得分状态与数据处理摘录之二</w:t>
      </w:r>
    </w:p>
    <w:p w14:paraId="49888202">
      <w:pPr>
        <w:keepNext/>
        <w:spacing w:after="40"/>
        <w:jc w:val="center"/>
      </w:pPr>
      <w:r>
        <w:drawing>
          <wp:inline distT="0" distB="0" distL="0" distR="0">
            <wp:extent cx="2749550" cy="6119495"/>
            <wp:effectExtent l="0" t="0" r="0" b="0"/>
            <wp:docPr id="46" name="Picture 46"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项目原始设计、实验记录或程序摘录"/>
                    <pic:cNvPicPr>
                      <a:picLocks noChangeAspect="1"/>
                    </pic:cNvPicPr>
                  </pic:nvPicPr>
                  <pic:blipFill>
                    <a:blip r:embed="rId54"/>
                    <a:stretch>
                      <a:fillRect/>
                    </a:stretch>
                  </pic:blipFill>
                  <pic:spPr>
                    <a:xfrm>
                      <a:off x="0" y="0"/>
                      <a:ext cx="2749981" cy="6119999"/>
                    </a:xfrm>
                    <a:prstGeom prst="rect">
                      <a:avLst/>
                    </a:prstGeom>
                  </pic:spPr>
                </pic:pic>
              </a:graphicData>
            </a:graphic>
          </wp:inline>
        </w:drawing>
      </w:r>
    </w:p>
    <w:p w14:paraId="14F06032">
      <w:pPr>
        <w:pStyle w:val="15"/>
        <w:jc w:val="center"/>
      </w:pPr>
      <w:r>
        <w:rPr>
          <w:b w:val="0"/>
        </w:rPr>
        <w:t>图C-4 辅助得分状态与数据处理摘录之三</w:t>
      </w:r>
    </w:p>
    <w:p w14:paraId="64A70CFE">
      <w:pPr>
        <w:keepNext/>
        <w:spacing w:after="40"/>
        <w:jc w:val="center"/>
      </w:pPr>
      <w:r>
        <w:drawing>
          <wp:inline distT="0" distB="0" distL="0" distR="0">
            <wp:extent cx="2705735" cy="6119495"/>
            <wp:effectExtent l="0" t="0" r="0" b="0"/>
            <wp:docPr id="47" name="Picture 47"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项目原始设计、实验记录或程序摘录"/>
                    <pic:cNvPicPr>
                      <a:picLocks noChangeAspect="1"/>
                    </pic:cNvPicPr>
                  </pic:nvPicPr>
                  <pic:blipFill>
                    <a:blip r:embed="rId55"/>
                    <a:stretch>
                      <a:fillRect/>
                    </a:stretch>
                  </pic:blipFill>
                  <pic:spPr>
                    <a:xfrm>
                      <a:off x="0" y="0"/>
                      <a:ext cx="2705806" cy="6119999"/>
                    </a:xfrm>
                    <a:prstGeom prst="rect">
                      <a:avLst/>
                    </a:prstGeom>
                  </pic:spPr>
                </pic:pic>
              </a:graphicData>
            </a:graphic>
          </wp:inline>
        </w:drawing>
      </w:r>
    </w:p>
    <w:p w14:paraId="77AA5A44">
      <w:pPr>
        <w:pStyle w:val="15"/>
        <w:jc w:val="center"/>
      </w:pPr>
      <w:r>
        <w:rPr>
          <w:b w:val="0"/>
        </w:rPr>
        <w:t>图C-5 辅助得分状态与数据处理摘录之四</w:t>
      </w:r>
    </w:p>
    <w:p w14:paraId="5D55D56B">
      <w:pPr>
        <w:keepNext/>
        <w:spacing w:after="40"/>
        <w:jc w:val="center"/>
      </w:pPr>
      <w:r>
        <w:drawing>
          <wp:inline distT="0" distB="0" distL="0" distR="0">
            <wp:extent cx="2512060" cy="6119495"/>
            <wp:effectExtent l="0" t="0" r="0" b="0"/>
            <wp:docPr id="48" name="Picture 48"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项目原始设计、实验记录或程序摘录"/>
                    <pic:cNvPicPr>
                      <a:picLocks noChangeAspect="1"/>
                    </pic:cNvPicPr>
                  </pic:nvPicPr>
                  <pic:blipFill>
                    <a:blip r:embed="rId56"/>
                    <a:stretch>
                      <a:fillRect/>
                    </a:stretch>
                  </pic:blipFill>
                  <pic:spPr>
                    <a:xfrm>
                      <a:off x="0" y="0"/>
                      <a:ext cx="2512114" cy="6119999"/>
                    </a:xfrm>
                    <a:prstGeom prst="rect">
                      <a:avLst/>
                    </a:prstGeom>
                  </pic:spPr>
                </pic:pic>
              </a:graphicData>
            </a:graphic>
          </wp:inline>
        </w:drawing>
      </w:r>
    </w:p>
    <w:p w14:paraId="40E9474F">
      <w:pPr>
        <w:pStyle w:val="15"/>
        <w:jc w:val="center"/>
      </w:pPr>
      <w:r>
        <w:rPr>
          <w:b w:val="0"/>
        </w:rPr>
        <w:t>图C-6 辅助得分状态与数据处理摘录之五</w:t>
      </w:r>
    </w:p>
    <w:p w14:paraId="50616895">
      <w:pPr>
        <w:keepNext/>
        <w:spacing w:after="40"/>
        <w:jc w:val="center"/>
      </w:pPr>
      <w:r>
        <w:drawing>
          <wp:inline distT="0" distB="0" distL="0" distR="0">
            <wp:extent cx="5759450" cy="3039110"/>
            <wp:effectExtent l="0" t="0" r="0" b="0"/>
            <wp:docPr id="49" name="Picture 49" descr="项目原始设计、实验记录或程序摘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项目原始设计、实验记录或程序摘录"/>
                    <pic:cNvPicPr>
                      <a:picLocks noChangeAspect="1"/>
                    </pic:cNvPicPr>
                  </pic:nvPicPr>
                  <pic:blipFill>
                    <a:blip r:embed="rId57"/>
                    <a:stretch>
                      <a:fillRect/>
                    </a:stretch>
                  </pic:blipFill>
                  <pic:spPr>
                    <a:xfrm>
                      <a:off x="0" y="0"/>
                      <a:ext cx="5760000" cy="3039216"/>
                    </a:xfrm>
                    <a:prstGeom prst="rect">
                      <a:avLst/>
                    </a:prstGeom>
                  </pic:spPr>
                </pic:pic>
              </a:graphicData>
            </a:graphic>
          </wp:inline>
        </w:drawing>
      </w:r>
    </w:p>
    <w:p w14:paraId="43F5EF86">
      <w:pPr>
        <w:pStyle w:val="15"/>
        <w:jc w:val="center"/>
      </w:pPr>
      <w:r>
        <w:rPr>
          <w:b w:val="0"/>
        </w:rPr>
        <w:t>图C-7 结果组合与输出程序摘录</w:t>
      </w:r>
    </w:p>
    <w:p w14:paraId="4CF2C7E3">
      <w:r>
        <w:rPr>
          <w:sz w:val="22"/>
        </w:rPr>
        <w:t>图 C-7 中的结果组合表达式按原截图转写如下。换行仅用于便于阅读，比例项仍保留原有整数写法，后续需要在统一定点格式下重新实现并验证。</w:t>
      </w:r>
    </w:p>
    <w:p w14:paraId="18EB3200">
      <w:pPr>
        <w:spacing w:after="0" w:line="264" w:lineRule="auto"/>
      </w:pPr>
      <w:r>
        <w:rPr>
          <w:rFonts w:ascii="Consolas" w:hAnsi="Consolas"/>
          <w:sz w:val="21"/>
        </w:rPr>
        <w:t>score_final &lt;= score_ux * (31'd5 / 31'd200)</w:t>
      </w:r>
    </w:p>
    <w:p w14:paraId="11E9D802">
      <w:pPr>
        <w:spacing w:after="0" w:line="264" w:lineRule="auto"/>
      </w:pPr>
      <w:r>
        <w:rPr>
          <w:rFonts w:ascii="Consolas" w:hAnsi="Consolas"/>
          <w:sz w:val="21"/>
        </w:rPr>
        <w:t xml:space="preserve">             + score_uz * (31'd5 / 31'd200)</w:t>
      </w:r>
    </w:p>
    <w:p w14:paraId="53108C6F">
      <w:pPr>
        <w:spacing w:after="0" w:line="264" w:lineRule="auto"/>
      </w:pPr>
      <w:r>
        <w:rPr>
          <w:rFonts w:ascii="Consolas" w:hAnsi="Consolas"/>
          <w:sz w:val="21"/>
        </w:rPr>
        <w:t xml:space="preserve">             + score_v * (31'd5 / 31'd100)</w:t>
      </w:r>
    </w:p>
    <w:p w14:paraId="3CE851A5">
      <w:pPr>
        <w:spacing w:after="0" w:line="264" w:lineRule="auto"/>
      </w:pPr>
      <w:r>
        <w:rPr>
          <w:rFonts w:ascii="Consolas" w:hAnsi="Consolas"/>
          <w:sz w:val="21"/>
        </w:rPr>
        <w:t xml:space="preserve">             + score_b * (31'd5 / 31'd100)</w:t>
      </w:r>
    </w:p>
    <w:p w14:paraId="3791002F">
      <w:pPr>
        <w:spacing w:after="0" w:line="264" w:lineRule="auto"/>
      </w:pPr>
      <w:r>
        <w:rPr>
          <w:rFonts w:ascii="Consolas" w:hAnsi="Consolas"/>
          <w:sz w:val="21"/>
        </w:rPr>
        <w:t xml:space="preserve">             + score_yolo * (31'd85 / 31'd100);</w:t>
      </w:r>
    </w:p>
    <w:p w14:paraId="50C0CB5D">
      <w:r>
        <w:rPr>
          <w:sz w:val="22"/>
        </w:rPr>
        <w:t>上述比例项若采用整数相除，结果会在除法阶段发生截断，不能直接表示预期的小数权重。后续应统一数值格式、缩放因子和舍入策略，并用软件参考值、综合仿真及板上输出逐项核对，确认比例计算在边界输入和正常输入下均符合设计定义。</w:t>
      </w:r>
    </w:p>
    <w:sectPr>
      <w:footerReference r:id="rId7" w:type="default"/>
      <w:pgSz w:w="11906" w:h="16838"/>
      <w:pgMar w:top="1247" w:right="1361" w:bottom="1134" w:left="1361" w:header="454" w:footer="45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1B11">
    <w:pPr>
      <w:pStyle w:val="24"/>
      <w:jc w:val="center"/>
    </w:pPr>
    <w:r>
      <w:fldChar w:fldCharType="begin"/>
    </w:r>
    <w:r>
      <w:instrText xml:space="preserve">PAGE</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0C0ED">
    <w:pPr>
      <w:pStyle w:val="24"/>
      <w:jc w:val="center"/>
    </w:pPr>
    <w:r>
      <w:fldChar w:fldCharType="begin"/>
    </w:r>
    <w:r>
      <w:instrText xml:space="preserve">PAGE</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8087A">
    <w:pPr>
      <w:pStyle w:val="24"/>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3EC4"/>
    <w:rsid w:val="0015074B"/>
    <w:rsid w:val="0029639D"/>
    <w:rsid w:val="00326F90"/>
    <w:rsid w:val="00732872"/>
    <w:rsid w:val="00760F05"/>
    <w:rsid w:val="00AA1D8D"/>
    <w:rsid w:val="00B47730"/>
    <w:rsid w:val="00CB0664"/>
    <w:rsid w:val="00FC693F"/>
    <w:rsid w:val="22155F72"/>
    <w:rsid w:val="2AFD0D37"/>
    <w:rsid w:val="707E31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0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outlineLvl w:val="0"/>
    </w:pPr>
    <w:rPr>
      <w:rFonts w:asciiTheme="majorHAnsi" w:hAnsiTheme="majorHAnsi" w:eastAsiaTheme="majorEastAsia" w:cstheme="majorBidi"/>
      <w:b/>
      <w:bCs/>
      <w:sz w:val="32"/>
      <w:szCs w:val="28"/>
    </w:rPr>
  </w:style>
  <w:style w:type="paragraph" w:styleId="4">
    <w:name w:val="heading 2"/>
    <w:basedOn w:val="1"/>
    <w:next w:val="1"/>
    <w:link w:val="142"/>
    <w:unhideWhenUsed/>
    <w:qFormat/>
    <w:uiPriority w:val="9"/>
    <w:pPr>
      <w:keepNext/>
      <w:keepLines/>
      <w:spacing w:before="120"/>
      <w:outlineLvl w:val="1"/>
    </w:pPr>
    <w:rPr>
      <w:rFonts w:asciiTheme="majorHAnsi" w:hAnsiTheme="majorHAnsi" w:eastAsiaTheme="majorEastAsia" w:cstheme="majorBidi"/>
      <w:b/>
      <w:bCs/>
      <w:sz w:val="28"/>
      <w:szCs w:val="26"/>
    </w:rPr>
  </w:style>
  <w:style w:type="paragraph" w:styleId="5">
    <w:name w:val="heading 3"/>
    <w:basedOn w:val="1"/>
    <w:next w:val="1"/>
    <w:link w:val="143"/>
    <w:unhideWhenUsed/>
    <w:qFormat/>
    <w:uiPriority w:val="9"/>
    <w:pPr>
      <w:keepNext/>
      <w:keepLines/>
      <w:spacing w:before="120"/>
      <w:outlineLvl w:val="2"/>
    </w:pPr>
    <w:rPr>
      <w:rFonts w:asciiTheme="majorHAnsi" w:hAnsiTheme="majorHAnsi" w:eastAsiaTheme="majorEastAsia" w:cstheme="majorBidi"/>
      <w:b/>
      <w:bCs/>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140"/>
    </w:pPr>
    <w:rPr>
      <w:b/>
      <w:bCs/>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Cs/>
      <w:spacing w:val="15"/>
      <w:szCs w:val="24"/>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keepNext/>
      <w:spacing w:before="120"/>
      <w:contextualSpacing/>
    </w:pPr>
    <w:rPr>
      <w:rFonts w:asciiTheme="majorHAnsi" w:hAnsiTheme="majorHAnsi" w:eastAsiaTheme="majorEastAsia" w:cstheme="majorBidi"/>
      <w:b/>
      <w:spacing w:val="5"/>
      <w:kern w:val="28"/>
      <w:sz w:val="44"/>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FF" w:themeColor="hyperlink"/>
      <w:u w:val="single"/>
      <w14:textFill>
        <w14:solidFill>
          <w14:schemeClr w14:val="hlink"/>
        </w14:solidFill>
      </w14:textFill>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宋体" w:cstheme="minorBidi"/>
      <w:color w:val="000000"/>
      <w:sz w:val="22"/>
      <w:szCs w:val="22"/>
      <w:lang w:val="en-US" w:eastAsia="en-US" w:bidi="ar-SA"/>
    </w:rPr>
  </w:style>
  <w:style w:type="paragraph" w:customStyle="1" w:styleId="168">
    <w:name w:val="TOC 21"/>
    <w:uiPriority w:val="0"/>
    <w:pPr>
      <w:spacing w:after="80" w:line="276" w:lineRule="auto"/>
    </w:pPr>
    <w:rPr>
      <w:rFonts w:ascii="Times New Roman" w:hAnsi="Times New Roman" w:eastAsia="宋体"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0" Type="http://schemas.openxmlformats.org/officeDocument/2006/relationships/fontTable" Target="fontTable.xml"/><Relationship Id="rId6" Type="http://schemas.openxmlformats.org/officeDocument/2006/relationships/footer" Target="footer2.xml"/><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38</Pages>
  <Words>12642</Words>
  <Characters>14312</Characters>
  <Lines>415</Lines>
  <Paragraphs>459</Paragraphs>
  <TotalTime>18</TotalTime>
  <ScaleCrop>false</ScaleCrop>
  <LinksUpToDate>false</LinksUpToDate>
  <CharactersWithSpaces>14916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黄瓜炒蛋_dan</dc:creator>
  <dc:description>学术化重写版，保留原有图表与实验资料。</dc:description>
  <cp:keywords>导盲环境感知; FPGA; Zynq-7020; YOLOv4-tiny; 多传感器信息处理</cp:keywords>
  <cp:lastModifiedBy>黄瓜炒蛋_dan</cp:lastModifiedBy>
  <dcterms:modified xsi:type="dcterms:W3CDTF">2026-10-27T08:03:13Z</dcterms:modified>
  <dc:subject>AMD自主选题赛道技术报告</dc:subject>
  <dc:title>面向导盲领航的YOLO加速系统 技术报告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eyJoZGlkIjoiOTQ2NDBhYjQ2OWNiYjQ4NmMzYWY2NDU5NjI5NmYzOTQiLCJ1c2VySWQiOiIxMTM0NDUwMjE4In0=</vt:lpwstr>
  </property>
  <property fmtid="{D5CDD505-2E9C-101B-9397-08002B2CF9AE}" pid="3" name="KSOProductBuildVer">
    <vt:lpwstr>2052-12.1.0.29161</vt:lpwstr>
  </property>
  <property fmtid="{D5CDD505-2E9C-101B-9397-08002B2CF9AE}" pid="4" name="ICV">
    <vt:lpwstr>E860BB9BAE0A480F877E6111E2F31CA0_12</vt:lpwstr>
  </property>
</Properties>
</file>