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Lombok Barat birth outcomes</w:t>
      </w:r>
    </w:p>
    <w:p>
      <w:pPr>
        <w:pStyle w:val="Subtitle"/>
      </w:pPr>
      <w:r>
        <w:t>Data flow and matching guide</w:t>
      </w:r>
    </w:p>
    <w:p>
      <w:pPr>
        <w:pStyle w:val="CaptionText"/>
      </w:pPr>
      <w:r>
        <w:t>Source-group edition | SIGIZI deletion exclusions | workflow and matching logic</w:t>
      </w:r>
    </w:p>
    <w:p>
      <w:pPr>
        <w:pStyle w:val="Heading1"/>
      </w:pPr>
      <w:r>
        <w:t>Simple summary</w:t>
      </w:r>
    </w:p>
    <w:p>
      <w:r>
        <w:t>Raw SIGIZI and EPUS records supply pregnancy and outcome evidence. SIMRS, Kobo and facility reports add birth evidence. Before building the SIGIZI cohort, compare clinical records with the deleted-pregnancy registry. Exclude qualifying matches, retain their audit trail, then correct geography and build pregnancy episodes. The source families meet in matching and feed reporting views and Looker.</w:t>
      </w:r>
    </w:p>
    <w:p>
      <w:pPr>
        <w:pStyle w:val="CaptionText"/>
      </w:pPr>
      <w:r>
        <w:t>Grey = raw input; blue = view; green = stored table; amber = processing. Unqualified objects are in spheres-lombok-barat.kohort_bumil_v3. Exact source-to-view pairs are in the appendix.</w:t>
      </w:r>
    </w:p>
    <w:p>
      <w:pPr>
        <w:spacing w:after="120"/>
        <w:jc w:val="center"/>
      </w:pPr>
      <w:r>
        <w:drawing>
          <wp:inline xmlns:a="http://schemas.openxmlformats.org/drawingml/2006/main" xmlns:pic="http://schemas.openxmlformats.org/drawingml/2006/picture">
            <wp:extent cx="3559580" cy="5166359"/>
            <wp:docPr id="6" name="Picture 6" descr="SIGIZI clinical raw tables and cleaning views meet the separate raw deletion registry and vs_sigizi_bumil_hapus at the exclusion step, before publishing active source records and correcting geography."/>
            <wp:cNvGraphicFramePr>
              <a:graphicFrameLocks noChangeAspect="1"/>
            </wp:cNvGraphicFramePr>
            <a:graphic>
              <a:graphicData uri="http://schemas.openxmlformats.org/drawingml/2006/picture">
                <pic:pic>
                  <pic:nvPicPr>
                    <pic:cNvPr id="0" name="sigizi_sources.png"/>
                    <pic:cNvPicPr/>
                  </pic:nvPicPr>
                  <pic:blipFill>
                    <a:blip r:embed="rId16"/>
                    <a:stretch>
                      <a:fillRect/>
                    </a:stretch>
                  </pic:blipFill>
                  <pic:spPr>
                    <a:xfrm>
                      <a:off x="0" y="0"/>
                      <a:ext cx="3559580" cy="5166359"/>
                    </a:xfrm>
                    <a:prstGeom prst="rect"/>
                  </pic:spPr>
                </pic:pic>
              </a:graphicData>
            </a:graphic>
          </wp:inline>
        </w:drawing>
      </w:r>
    </w:p>
    <w:p>
      <w:pPr>
        <w:pStyle w:val="Heading2"/>
        <w:pageBreakBefore/>
      </w:pPr>
      <w:r>
        <w:t>Where EPUS pregnancy and visit records enter</w:t>
      </w:r>
    </w:p>
    <w:p>
      <w:pPr>
        <w:pageBreakBefore w:val="0"/>
      </w:pPr>
      <w:r>
        <w:t>EPUS visits are cleaned, assigned to mothers and pregnancies, and deduplicated as ANC encounters. The pregnancy master also receives INC delivery evidence. A SIGIZI deletion does not automatically remove independent EPUS evidence.</w:t>
      </w:r>
    </w:p>
    <w:p>
      <w:pPr>
        <w:pageBreakBefore w:val="0"/>
        <w:spacing w:after="120"/>
        <w:jc w:val="center"/>
      </w:pPr>
      <w:r>
        <w:drawing>
          <wp:inline xmlns:a="http://schemas.openxmlformats.org/drawingml/2006/main" xmlns:pic="http://schemas.openxmlformats.org/drawingml/2006/picture">
            <wp:extent cx="3902120" cy="6035039"/>
            <wp:docPr id="7" name="Picture 7" descr="EPUS raw ANC, INC, PNC and pregnancy-visit sources flow through their cleaning views, source table and mother/pregnancy/ANC preparation to the pregnancy master."/>
            <wp:cNvGraphicFramePr>
              <a:graphicFrameLocks noChangeAspect="1"/>
            </wp:cNvGraphicFramePr>
            <a:graphic>
              <a:graphicData uri="http://schemas.openxmlformats.org/drawingml/2006/picture">
                <pic:pic>
                  <pic:nvPicPr>
                    <pic:cNvPr id="0" name="epus_sources.png"/>
                    <pic:cNvPicPr/>
                  </pic:nvPicPr>
                  <pic:blipFill>
                    <a:blip r:embed="rId17"/>
                    <a:stretch>
                      <a:fillRect/>
                    </a:stretch>
                  </pic:blipFill>
                  <pic:spPr>
                    <a:xfrm>
                      <a:off x="0" y="0"/>
                      <a:ext cx="3902120" cy="6035039"/>
                    </a:xfrm>
                    <a:prstGeom prst="rect"/>
                  </pic:spPr>
                </pic:pic>
              </a:graphicData>
            </a:graphic>
          </wp:inline>
        </w:drawing>
      </w:r>
    </w:p>
    <w:p>
      <w:pPr>
        <w:pStyle w:val="Heading2"/>
        <w:pageBreakBefore/>
      </w:pPr>
      <w:r>
        <w:t>Where SIMRS and facility reports enter</w:t>
      </w:r>
    </w:p>
    <w:p>
      <w:r>
        <w:t>These branches add delivery and neonatal evidence. They do not construct the SIGIZI/EPUS pregnancy spine; their reports are matched to that spine later.</w:t>
      </w:r>
    </w:p>
    <w:p>
      <w:r>
        <w:drawing>
          <wp:inline xmlns:a="http://schemas.openxmlformats.org/drawingml/2006/main" xmlns:pic="http://schemas.openxmlformats.org/drawingml/2006/picture">
            <wp:extent cx="5943600" cy="3190959"/>
            <wp:docPr id="2" name="Picture 2"/>
            <wp:cNvGraphicFramePr>
              <a:graphicFrameLocks noChangeAspect="1"/>
            </wp:cNvGraphicFramePr>
            <a:graphic>
              <a:graphicData uri="http://schemas.openxmlformats.org/drawingml/2006/picture">
                <pic:pic>
                  <pic:nvPicPr>
                    <pic:cNvPr id="0" name="simrs_facility_sources.png"/>
                    <pic:cNvPicPr/>
                  </pic:nvPicPr>
                  <pic:blipFill>
                    <a:blip r:embed="rId12"/>
                    <a:stretch>
                      <a:fillRect/>
                    </a:stretch>
                  </pic:blipFill>
                  <pic:spPr>
                    <a:xfrm>
                      <a:off x="0" y="0"/>
                      <a:ext cx="5943600" cy="3190959"/>
                    </a:xfrm>
                    <a:prstGeom prst="rect"/>
                  </pic:spPr>
                </pic:pic>
              </a:graphicData>
            </a:graphic>
          </wp:inline>
        </w:drawing>
      </w:r>
    </w:p>
    <w:p>
      <w:pPr>
        <w:pStyle w:val="CaptionText"/>
      </w:pPr>
      <w:r>
        <w:t>The dashed facility path marks an external boundary. The repository reads the existing tracker view; its raw ingestion and internal build are not defined here.</w:t>
      </w:r>
    </w:p>
    <w:p>
      <w:pPr>
        <w:pStyle w:val="Heading2"/>
        <w:pageBreakBefore/>
      </w:pPr>
      <w:r>
        <w:t>Where Kobo and adjudication enter</w:t>
      </w:r>
    </w:p>
    <w:p>
      <w:r>
        <w:t>INC submissions are cleaned, then combined with adjudication in the case-master view. Neonatal records follow their own cleaning view. Both routes contribute to the same outcome-evidence table.</w:t>
      </w:r>
    </w:p>
    <w:p>
      <w:r>
        <w:drawing>
          <wp:inline xmlns:a="http://schemas.openxmlformats.org/drawingml/2006/main" xmlns:pic="http://schemas.openxmlformats.org/drawingml/2006/picture">
            <wp:extent cx="5943600" cy="4578178"/>
            <wp:docPr id="3" name="Picture 3"/>
            <wp:cNvGraphicFramePr>
              <a:graphicFrameLocks noChangeAspect="1"/>
            </wp:cNvGraphicFramePr>
            <a:graphic>
              <a:graphicData uri="http://schemas.openxmlformats.org/drawingml/2006/picture">
                <pic:pic>
                  <pic:nvPicPr>
                    <pic:cNvPr id="0" name="kobo_sources.png"/>
                    <pic:cNvPicPr/>
                  </pic:nvPicPr>
                  <pic:blipFill>
                    <a:blip r:embed="rId13"/>
                    <a:stretch>
                      <a:fillRect/>
                    </a:stretch>
                  </pic:blipFill>
                  <pic:spPr>
                    <a:xfrm>
                      <a:off x="0" y="0"/>
                      <a:ext cx="5943600" cy="4578178"/>
                    </a:xfrm>
                    <a:prstGeom prst="rect"/>
                  </pic:spPr>
                </pic:pic>
              </a:graphicData>
            </a:graphic>
          </wp:inline>
        </w:drawing>
      </w:r>
    </w:p>
    <w:p>
      <w:pPr>
        <w:pStyle w:val="CaptionText"/>
      </w:pPr>
      <w:r>
        <w:t>The repeated outcome-table box is the same t_pregnancy_outcome_events_v3_3, not separate tables. It also receives the corrected SIGIZI source records and the EPUS pregnancy master shown earlier.</w:t>
      </w:r>
    </w:p>
    <w:p>
      <w:pPr>
        <w:pStyle w:val="Heading2"/>
        <w:pageBreakBefore/>
      </w:pPr>
      <w:r>
        <w:t>From source records to the pregnancy table</w:t>
      </w:r>
    </w:p>
    <w:p>
      <w:r>
        <w:t>The SIGIZI branch now starts from retained source records after deletion exclusion and geography correction. The branches meet when matching concludes that SIGIZI and EPUS episodes describe the same pregnancy. Unmatched episodes remain in the pregnancy spine.</w:t>
      </w:r>
    </w:p>
    <w:p>
      <w:r>
        <w:drawing>
          <wp:inline xmlns:a="http://schemas.openxmlformats.org/drawingml/2006/main" xmlns:pic="http://schemas.openxmlformats.org/drawingml/2006/picture">
            <wp:extent cx="5943600" cy="5545946"/>
            <wp:docPr id="4" name="Picture 4"/>
            <wp:cNvGraphicFramePr>
              <a:graphicFrameLocks noChangeAspect="1"/>
            </wp:cNvGraphicFramePr>
            <a:graphic>
              <a:graphicData uri="http://schemas.openxmlformats.org/drawingml/2006/picture">
                <pic:pic>
                  <pic:nvPicPr>
                    <pic:cNvPr id="0" name="pregnancy_exact_flow.png"/>
                    <pic:cNvPicPr/>
                  </pic:nvPicPr>
                  <pic:blipFill>
                    <a:blip r:embed="rId14"/>
                    <a:stretch>
                      <a:fillRect/>
                    </a:stretch>
                  </pic:blipFill>
                  <pic:spPr>
                    <a:xfrm>
                      <a:off x="0" y="0"/>
                      <a:ext cx="5943600" cy="5545946"/>
                    </a:xfrm>
                    <a:prstGeom prst="rect"/>
                  </pic:spPr>
                </pic:pic>
              </a:graphicData>
            </a:graphic>
          </wp:inline>
        </w:drawing>
      </w:r>
    </w:p>
    <w:p>
      <w:pPr>
        <w:pStyle w:val="CaptionText"/>
      </w:pPr>
      <w:r>
        <w:t>The deletion gate runs inside 03_sigizi_source.sql before this panel. Geography then rewrites the same source table. The EPUS master reads pregnancy records, canonical ANC events and vs_epus_inc delivery evidence.</w:t>
      </w:r>
    </w:p>
    <w:p>
      <w:r>
        <w:t>The final table, t_pregnancy_episode_spine_v3_3, holds the shared pregnancy identity. Canonical maps retain which original episodes contributed to it. It supplies the pregnancy context used by both outcome tracking and delivery-to-ANC matching.</w:t>
      </w:r>
    </w:p>
    <w:p>
      <w:pPr>
        <w:pStyle w:val="Heading2"/>
        <w:pageBreakBefore/>
      </w:pPr>
      <w:r>
        <w:t>Where the branches meet and reach Looker</w:t>
      </w:r>
    </w:p>
    <w:p>
      <w:r>
        <w:t>The pregnancy spine supplies the pregnancy identity; the outcome table supplies reports of what happened. Pregnancy tracking and delivery deduplication use these inputs for different purposes, then converge in the reporting layer.</w:t>
      </w:r>
    </w:p>
    <w:p>
      <w:r>
        <w:drawing>
          <wp:inline xmlns:a="http://schemas.openxmlformats.org/drawingml/2006/main" xmlns:pic="http://schemas.openxmlformats.org/drawingml/2006/picture">
            <wp:extent cx="5943600" cy="5889306"/>
            <wp:docPr id="5" name="Picture 5"/>
            <wp:cNvGraphicFramePr>
              <a:graphicFrameLocks noChangeAspect="1"/>
            </wp:cNvGraphicFramePr>
            <a:graphic>
              <a:graphicData uri="http://schemas.openxmlformats.org/drawingml/2006/picture">
                <pic:pic>
                  <pic:nvPicPr>
                    <pic:cNvPr id="0" name="core_reporting.png"/>
                    <pic:cNvPicPr/>
                  </pic:nvPicPr>
                  <pic:blipFill>
                    <a:blip r:embed="rId15"/>
                    <a:stretch>
                      <a:fillRect/>
                    </a:stretch>
                  </pic:blipFill>
                  <pic:spPr>
                    <a:xfrm>
                      <a:off x="0" y="0"/>
                      <a:ext cx="5943600" cy="5889306"/>
                    </a:xfrm>
                    <a:prstGeom prst="rect"/>
                  </pic:spPr>
                </pic:pic>
              </a:graphicData>
            </a:graphic>
          </wp:inline>
        </w:drawing>
      </w:r>
    </w:p>
    <w:p>
      <w:pPr>
        <w:pStyle w:val="CaptionText"/>
      </w:pPr>
      <w:r>
        <w:t>Main reporting path, not every SQL reference. Source maps, rescue evidence and audit tables support the matching steps; the appendix lists direct reporting dependencies. Pregnancy monitoring uses expected delivery dates; delivery reporting uses actual delivery events.</w:t>
      </w:r>
    </w:p>
    <w:p>
      <w:pPr>
        <w:pStyle w:val="Heading1"/>
        <w:pageBreakBefore/>
      </w:pPr>
      <w:r>
        <w:t>Detailed logic</w:t>
      </w:r>
    </w:p>
    <w:p>
      <w:pPr>
        <w:pStyle w:val="Heading2"/>
      </w:pPr>
      <w:r>
        <w:t>What cleaning does before matching</w:t>
      </w:r>
    </w:p>
    <w:p>
      <w:r>
        <w:t>Cleaning makes equivalent representations comparable. It does not mean that every filled field is accepted as correct. The SQL retains raw identifiers and source evidence so a selected value can be traced back.</w:t>
      </w:r>
    </w:p>
    <w:tbl>
      <w:tblPr>
        <w:tblStyle w:val="TableGrid"/>
        <w:tblW w:type="dxa" w:w="9360"/>
        <w:jc w:val="left"/>
        <w:tblLayout w:type="fixed"/>
        <w:tblLook w:firstColumn="1" w:firstRow="1" w:lastColumn="0" w:lastRow="0" w:noHBand="0" w:noVBand="1" w:val="04A0"/>
        <w:tblInd w:type="dxa" w:w="120"/>
      </w:tblPr>
      <w:tblGrid>
        <w:gridCol w:w="2200"/>
        <w:gridCol w:w="7160"/>
      </w:tblGrid>
      <w:tr>
        <w:trPr>
          <w:cantSplit/>
          <w:tblHeader/>
        </w:trPr>
        <w:tc>
          <w:tcPr>
            <w:tcW w:type="dxa" w:w="2200"/>
            <w:shd w:fill="F2F4F7"/>
            <w:tcMar>
              <w:top w:w="80" w:type="dxa"/>
              <w:bottom w:w="80" w:type="dxa"/>
              <w:start w:w="120" w:type="dxa"/>
              <w:end w:w="120" w:type="dxa"/>
            </w:tcMar>
          </w:tcPr>
          <w:p>
            <w:pPr>
              <w:pStyle w:val="TableText"/>
            </w:pPr>
            <w:r>
              <w:rPr>
                <w:b/>
              </w:rPr>
              <w:t>Field or record</w:t>
            </w:r>
          </w:p>
        </w:tc>
        <w:tc>
          <w:tcPr>
            <w:tcW w:type="dxa" w:w="7160"/>
            <w:shd w:fill="F2F4F7"/>
            <w:tcMar>
              <w:top w:w="80" w:type="dxa"/>
              <w:bottom w:w="80" w:type="dxa"/>
              <w:start w:w="120" w:type="dxa"/>
              <w:end w:w="120" w:type="dxa"/>
            </w:tcMar>
          </w:tcPr>
          <w:p>
            <w:pPr>
              <w:pStyle w:val="TableText"/>
            </w:pPr>
            <w:r>
              <w:rPr>
                <w:b/>
              </w:rPr>
              <w:t>Implemented treatment</w:t>
            </w:r>
          </w:p>
        </w:tc>
      </w:tr>
      <w:tr>
        <w:trPr>
          <w:cantSplit/>
        </w:trPr>
        <w:tc>
          <w:tcPr>
            <w:tcW w:type="dxa" w:w="2200"/>
            <w:tcMar>
              <w:top w:w="80" w:type="dxa"/>
              <w:bottom w:w="80" w:type="dxa"/>
              <w:start w:w="120" w:type="dxa"/>
              <w:end w:w="120" w:type="dxa"/>
            </w:tcMar>
          </w:tcPr>
          <w:p>
            <w:pPr>
              <w:pStyle w:val="TableText"/>
            </w:pPr>
            <w:r>
              <w:t>Source identity</w:t>
            </w:r>
          </w:p>
        </w:tc>
        <w:tc>
          <w:tcPr>
            <w:tcW w:type="dxa" w:w="7160"/>
            <w:tcMar>
              <w:top w:w="80" w:type="dxa"/>
              <w:bottom w:w="80" w:type="dxa"/>
              <w:start w:w="120" w:type="dxa"/>
              <w:end w:w="120" w:type="dxa"/>
            </w:tcMar>
          </w:tcPr>
          <w:p>
            <w:pPr>
              <w:pStyle w:val="TableText"/>
            </w:pPr>
            <w:r>
              <w:t>Keep a source identifier from UUID/hash fields or a row fingerprint. Retain source family and raw JSON where the stage provides them.</w:t>
            </w:r>
          </w:p>
        </w:tc>
      </w:tr>
      <w:tr>
        <w:trPr>
          <w:cantSplit/>
        </w:trPr>
        <w:tc>
          <w:tcPr>
            <w:tcW w:type="dxa" w:w="2200"/>
            <w:tcMar>
              <w:top w:w="80" w:type="dxa"/>
              <w:bottom w:w="80" w:type="dxa"/>
              <w:start w:w="120" w:type="dxa"/>
              <w:end w:w="120" w:type="dxa"/>
            </w:tcMar>
          </w:tcPr>
          <w:p>
            <w:pPr>
              <w:pStyle w:val="TableText"/>
            </w:pPr>
            <w:r>
              <w:t>Repeated exports</w:t>
            </w:r>
          </w:p>
        </w:tc>
        <w:tc>
          <w:tcPr>
            <w:tcW w:type="dxa" w:w="7160"/>
            <w:tcMar>
              <w:top w:w="80" w:type="dxa"/>
              <w:bottom w:w="80" w:type="dxa"/>
              <w:start w:w="120" w:type="dxa"/>
              <w:end w:w="120" w:type="dxa"/>
            </w:tcMar>
          </w:tcPr>
          <w:p>
            <w:pPr>
              <w:pStyle w:val="TableText"/>
            </w:pPr>
            <w:r>
              <w:t>The EPUS ANC adapter separates a full-row hash from a clinical-content hash that excludes ingestion metadata. This distinguishes a clinical row from the file that carried it.</w:t>
            </w:r>
          </w:p>
        </w:tc>
      </w:tr>
      <w:tr>
        <w:trPr>
          <w:cantSplit/>
        </w:trPr>
        <w:tc>
          <w:tcPr>
            <w:tcW w:type="dxa" w:w="2200"/>
            <w:tcMar>
              <w:top w:w="80" w:type="dxa"/>
              <w:bottom w:w="80" w:type="dxa"/>
              <w:start w:w="120" w:type="dxa"/>
              <w:end w:w="120" w:type="dxa"/>
            </w:tcMar>
          </w:tcPr>
          <w:p>
            <w:pPr>
              <w:pStyle w:val="TableText"/>
            </w:pPr>
            <w:r>
              <w:t>Names</w:t>
            </w:r>
          </w:p>
        </w:tc>
        <w:tc>
          <w:tcPr>
            <w:tcW w:type="dxa" w:w="7160"/>
            <w:tcMar>
              <w:top w:w="80" w:type="dxa"/>
              <w:bottom w:w="80" w:type="dxa"/>
              <w:start w:w="120" w:type="dxa"/>
              <w:end w:w="120" w:type="dxa"/>
            </w:tcMar>
          </w:tcPr>
          <w:p>
            <w:pPr>
              <w:pStyle w:val="TableText"/>
            </w:pPr>
            <w:r>
              <w:t>Uppercase and standardize punctuation and whitespace. Core-name normalization removes configured title words; compact-name comparison also removes spaces and punctuation.</w:t>
            </w:r>
          </w:p>
        </w:tc>
      </w:tr>
      <w:tr>
        <w:trPr>
          <w:cantSplit/>
        </w:trPr>
        <w:tc>
          <w:tcPr>
            <w:tcW w:type="dxa" w:w="2200"/>
            <w:tcMar>
              <w:top w:w="80" w:type="dxa"/>
              <w:bottom w:w="80" w:type="dxa"/>
              <w:start w:w="120" w:type="dxa"/>
              <w:end w:w="120" w:type="dxa"/>
            </w:tcMar>
          </w:tcPr>
          <w:p>
            <w:pPr>
              <w:pStyle w:val="TableText"/>
            </w:pPr>
            <w:r>
              <w:t>NIK</w:t>
            </w:r>
          </w:p>
        </w:tc>
        <w:tc>
          <w:tcPr>
            <w:tcW w:type="dxa" w:w="7160"/>
            <w:tcMar>
              <w:top w:w="80" w:type="dxa"/>
              <w:bottom w:w="80" w:type="dxa"/>
              <w:start w:w="120" w:type="dxa"/>
              <w:end w:w="120" w:type="dxa"/>
            </w:tcMar>
          </w:tcPr>
          <w:p>
            <w:pPr>
              <w:pStyle w:val="TableText"/>
            </w:pPr>
            <w:r>
              <w:t>Clean according to the source adapter, then evaluate reliability in core matching. Scientific notation, malformed values and known rounded/placeholder values are weaker clues, not trusted contradictory identities.</w:t>
            </w:r>
          </w:p>
        </w:tc>
      </w:tr>
      <w:tr>
        <w:trPr>
          <w:cantSplit/>
        </w:trPr>
        <w:tc>
          <w:tcPr>
            <w:tcW w:type="dxa" w:w="2200"/>
            <w:tcMar>
              <w:top w:w="80" w:type="dxa"/>
              <w:bottom w:w="80" w:type="dxa"/>
              <w:start w:w="120" w:type="dxa"/>
              <w:end w:w="120" w:type="dxa"/>
            </w:tcMar>
          </w:tcPr>
          <w:p>
            <w:pPr>
              <w:pStyle w:val="TableText"/>
            </w:pPr>
            <w:r>
              <w:t>Dates</w:t>
            </w:r>
          </w:p>
        </w:tc>
        <w:tc>
          <w:tcPr>
            <w:tcW w:type="dxa" w:w="7160"/>
            <w:tcMar>
              <w:top w:w="80" w:type="dxa"/>
              <w:bottom w:w="80" w:type="dxa"/>
              <w:start w:w="120" w:type="dxa"/>
              <w:end w:w="120" w:type="dxa"/>
            </w:tcMar>
          </w:tcPr>
          <w:p>
            <w:pPr>
              <w:pStyle w:val="TableText"/>
            </w:pPr>
            <w:r>
              <w:t>Parse source formats and retain usable pregnancy dates. Derive an anchor from HPHT or an HPL-based estimate where supported.</w:t>
            </w:r>
          </w:p>
        </w:tc>
      </w:tr>
      <w:tr>
        <w:trPr>
          <w:cantSplit/>
        </w:trPr>
        <w:tc>
          <w:tcPr>
            <w:tcW w:type="dxa" w:w="2200"/>
            <w:tcMar>
              <w:top w:w="80" w:type="dxa"/>
              <w:bottom w:w="80" w:type="dxa"/>
              <w:start w:w="120" w:type="dxa"/>
              <w:end w:w="120" w:type="dxa"/>
            </w:tcMar>
          </w:tcPr>
          <w:p>
            <w:pPr>
              <w:pStyle w:val="TableText"/>
            </w:pPr>
            <w:r>
              <w:t>Phone</w:t>
            </w:r>
          </w:p>
        </w:tc>
        <w:tc>
          <w:tcPr>
            <w:tcW w:type="dxa" w:w="7160"/>
            <w:tcMar>
              <w:top w:w="80" w:type="dxa"/>
              <w:bottom w:w="80" w:type="dxa"/>
              <w:start w:w="120" w:type="dxa"/>
              <w:end w:w="120" w:type="dxa"/>
            </w:tcMar>
          </w:tcPr>
          <w:p>
            <w:pPr>
              <w:pStyle w:val="TableText"/>
            </w:pPr>
            <w:r>
              <w:t>Outcome tracking validates normalized Indonesian mobile values. A valid pregnancy-source phone is preferred; otherwise a valid matched outcome-source phone can be selected.</w:t>
            </w:r>
          </w:p>
        </w:tc>
      </w:tr>
    </w:tbl>
    <w:p>
      <w:pPr>
        <w:pStyle w:val="Heading2"/>
      </w:pPr>
      <w:r>
        <w:t>How the Puskesmas/village correction works</w:t>
      </w:r>
    </w:p>
    <w:p>
      <w:r>
        <w:t>For ANC, DAFTAR_IBU_HAMIL and KOHORT_IBU, the recovered resolver uses direct source-specific assignments. For DAFTAR_IBU and KOHORT_NIFAS, it considers metadata facility + raw village, metadata facility + shifted village, direct raw fields, and a shifted village with a uniquely known parent facility.</w:t>
      </w:r>
    </w:p>
    <w:p>
      <w:r>
        <w:t>Candidates gain support from agreement with t_sigizi_location_reference and source metadata. The highest-scoring candidate is selected. Tied candidates receive AMBIGUOUS confidence and a deterministic method-name tie-break. The recovered application accepts every confidence except UNRESOLVED; unresolved fields become null. Thus an ambiguity flag is an audit warning, not an automatic rejection in this geography stage.</w:t>
      </w:r>
    </w:p>
    <w:p>
      <w:r>
        <w:t>t_sigizi_location_resolved_v1 stores original values and the decision. The corrected source table feeds episode grouping, so geography must be repaired before deduplication. Simply renaming labels inside Looker would leave the upstream matching affected.</w:t>
      </w:r>
    </w:p>
    <w:p>
      <w:pPr>
        <w:pStyle w:val="CaptionText"/>
      </w:pPr>
      <w:r>
        <w:t>Source: adapter/preparation SQL, geography patch and 40_outcome_tracking.sql. Matching checks and final contact validation are distinct stages.</w:t>
      </w:r>
    </w:p>
    <w:p>
      <w:pPr>
        <w:pStyle w:val="Heading2"/>
        <w:pageBreakBefore/>
      </w:pPr>
      <w:commentRangeStart w:id="0"/>
      <w:r>
        <w:t>Excluding deleted SIGIZI pregnancies</w:t>
      </w:r>
      <w:commentRangeEnd w:id="0"/>
      <w:r>
        <w:rPr>
          <w:rStyle w:val="CommentReference"/>
        </w:rPr>
        <w:commentReference w:id="0"/>
      </w:r>
    </w:p>
    <w:p>
      <w:pPr>
        <w:pageBreakBefore w:val="0"/>
      </w:pPr>
      <w:r>
        <w:t>vs_sigizi_bumil_hapus is a deletion reference, not a clinical source. The source builder checks each standardized SIGIZI record against it before publishing the records that feed pregnancy and outcome construction.</w:t>
      </w:r>
    </w:p>
    <w:p>
      <w:pPr>
        <w:pageBreakBefore w:val="0"/>
        <w:spacing w:after="120"/>
        <w:jc w:val="center"/>
      </w:pPr>
      <w:r>
        <w:drawing>
          <wp:inline xmlns:a="http://schemas.openxmlformats.org/drawingml/2006/main" xmlns:pic="http://schemas.openxmlformats.org/drawingml/2006/picture">
            <wp:extent cx="4509201" cy="3246119"/>
            <wp:docPr id="8" name="Picture 8" descr="Clinical records and deletion notices are compared by identity and pregnancy anchor. Matches go to the excluded-record audit, while records without a qualifying match continue to geography and the core pipeline."/>
            <wp:cNvGraphicFramePr>
              <a:graphicFrameLocks noChangeAspect="1"/>
            </wp:cNvGraphicFramePr>
            <a:graphic>
              <a:graphicData uri="http://schemas.openxmlformats.org/drawingml/2006/picture">
                <pic:pic>
                  <pic:nvPicPr>
                    <pic:cNvPr id="0" name="sigizi_deletion_exclusion.png"/>
                    <pic:cNvPicPr/>
                  </pic:nvPicPr>
                  <pic:blipFill>
                    <a:blip r:embed="rId18"/>
                    <a:stretch>
                      <a:fillRect/>
                    </a:stretch>
                  </pic:blipFill>
                  <pic:spPr>
                    <a:xfrm>
                      <a:off x="0" y="0"/>
                      <a:ext cx="4509201" cy="3246119"/>
                    </a:xfrm>
                    <a:prstGeom prst="rect"/>
                  </pic:spPr>
                </pic:pic>
              </a:graphicData>
            </a:graphic>
          </wp:inline>
        </w:drawing>
      </w:r>
    </w:p>
    <w:tbl>
      <w:tblPr>
        <w:tblStyle w:val="TableGrid"/>
        <w:tblW w:type="dxa" w:w="9360"/>
        <w:tblLayout w:type="fixed"/>
        <w:tblLook w:firstColumn="1" w:firstRow="1" w:lastColumn="0" w:lastRow="0" w:noHBand="0" w:noVBand="1" w:val="04A0"/>
        <w:tblInd w:type="dxa" w:w="120"/>
        <w:tblCellMar>
          <w:top w:w="90" w:type="dxa"/>
          <w:bottom w:w="90" w:type="dxa"/>
          <w:left w:w="120" w:type="dxa"/>
          <w:right w:w="120" w:type="dxa"/>
        </w:tblCellMar>
      </w:tblPr>
      <w:tblGrid>
        <w:gridCol w:w="2700"/>
        <w:gridCol w:w="6660"/>
      </w:tblGrid>
      <w:tr>
        <w:trPr>
          <w:tblHeader/>
        </w:trPr>
        <w:tc>
          <w:tcPr>
            <w:tcW w:type="dxa" w:w="2700"/>
            <w:shd w:fill="E8EFF8"/>
          </w:tcPr>
          <w:p>
            <w:pPr>
              <w:pStyle w:val="TableText"/>
              <w:spacing w:after="60" w:before="60"/>
            </w:pPr>
            <w:r>
              <w:rPr>
                <w:b/>
              </w:rPr>
              <w:t>Rule</w:t>
            </w:r>
          </w:p>
        </w:tc>
        <w:tc>
          <w:tcPr>
            <w:tcW w:type="dxa" w:w="6660"/>
            <w:shd w:fill="E8EFF8"/>
          </w:tcPr>
          <w:p>
            <w:pPr>
              <w:pStyle w:val="TableText"/>
              <w:spacing w:after="60" w:before="60"/>
            </w:pPr>
            <w:r>
              <w:rPr>
                <w:b/>
              </w:rPr>
              <w:t>Decision</w:t>
            </w:r>
          </w:p>
        </w:tc>
      </w:tr>
      <w:tr>
        <w:tc>
          <w:tcPr>
            <w:tcW w:type="dxa" w:w="2700"/>
          </w:tcPr>
          <w:p>
            <w:pPr>
              <w:pStyle w:val="TableText"/>
              <w:spacing w:after="60" w:before="60"/>
            </w:pPr>
            <w:r>
              <w:t>Usable NIK + same pregnancy</w:t>
            </w:r>
          </w:p>
        </w:tc>
        <w:tc>
          <w:tcPr>
            <w:tcW w:type="dxa" w:w="6660"/>
          </w:tcPr>
          <w:p>
            <w:pPr>
              <w:pStyle w:val="TableText"/>
              <w:spacing w:after="60" w:before="60"/>
            </w:pPr>
            <w:r>
              <w:t>Exclude when the cleaned NIK and pregnancy anchor both agree with the registry.</w:t>
            </w:r>
          </w:p>
        </w:tc>
      </w:tr>
      <w:tr>
        <w:tc>
          <w:tcPr>
            <w:tcW w:type="dxa" w:w="2700"/>
          </w:tcPr>
          <w:p>
            <w:pPr>
              <w:pStyle w:val="TableText"/>
              <w:spacing w:after="60" w:before="60"/>
            </w:pPr>
            <w:r>
              <w:t>NIK unavailable on either side</w:t>
            </w:r>
          </w:p>
        </w:tc>
        <w:tc>
          <w:tcPr>
            <w:tcW w:type="dxa" w:w="6660"/>
          </w:tcPr>
          <w:p>
            <w:pPr>
              <w:pStyle w:val="TableText"/>
              <w:spacing w:after="60" w:before="60"/>
            </w:pPr>
            <w:r>
              <w:t>Require exact normalized name, maternal birth date and pregnancy anchor.</w:t>
            </w:r>
          </w:p>
        </w:tc>
      </w:tr>
      <w:tr>
        <w:tc>
          <w:tcPr>
            <w:tcW w:type="dxa" w:w="2700"/>
          </w:tcPr>
          <w:p>
            <w:pPr>
              <w:pStyle w:val="TableText"/>
              <w:spacing w:after="60" w:before="60"/>
            </w:pPr>
            <w:r>
              <w:t>Conflicting usable NIKs</w:t>
            </w:r>
          </w:p>
        </w:tc>
        <w:tc>
          <w:tcPr>
            <w:tcW w:type="dxa" w:w="6660"/>
          </w:tcPr>
          <w:p>
            <w:pPr>
              <w:pStyle w:val="TableText"/>
              <w:spacing w:after="60" w:before="60"/>
            </w:pPr>
            <w:r>
              <w:t>Do not override the conflict with name matching.</w:t>
            </w:r>
          </w:p>
        </w:tc>
      </w:tr>
      <w:tr>
        <w:tc>
          <w:tcPr>
            <w:tcW w:type="dxa" w:w="2700"/>
          </w:tcPr>
          <w:p>
            <w:pPr>
              <w:pStyle w:val="TableText"/>
              <w:spacing w:after="60" w:before="60"/>
            </w:pPr>
            <w:r>
              <w:t>Different pregnancy or insufficient evidence</w:t>
            </w:r>
          </w:p>
        </w:tc>
        <w:tc>
          <w:tcPr>
            <w:tcW w:type="dxa" w:w="6660"/>
          </w:tcPr>
          <w:p>
            <w:pPr>
              <w:pStyle w:val="TableText"/>
              <w:spacing w:after="60" w:before="60"/>
            </w:pPr>
            <w:r>
              <w:t>Do not exclude the mother broadly. Retain unmatched records and review missing identity or dates.</w:t>
            </w:r>
          </w:p>
        </w:tc>
      </w:tr>
    </w:tbl>
    <w:p>
      <w:pPr>
        <w:pStyle w:val="CaptionText"/>
        <w:pageBreakBefore w:val="0"/>
      </w:pPr>
      <w:r>
        <w:t>The source anchor is HPHT; only when HPHT is absent, use HPL minus the assumed gestation interval. It must exactly equal registry HPHT. This exclusion is not fuzzy matching and does not use the wider tolerances of pregnancy canonicalization.</w:t>
      </w:r>
    </w:p>
    <w:p>
      <w:pPr>
        <w:pStyle w:val="CaptionText"/>
        <w:pageBreakBefore w:val="0"/>
      </w:pPr>
      <w:r>
        <w:t>Independent EPUS or hospital evidence can still support the integrated episode. The gate excludes matching SIGIZI source records, not the mother from every system.</w:t>
      </w:r>
    </w:p>
    <w:p>
      <w:pPr>
        <w:pStyle w:val="Heading2"/>
        <w:pageBreakBefore/>
      </w:pPr>
      <w:r>
        <w:t>How records become pregnancies and ANC visits</w:t>
      </w:r>
    </w:p>
    <w:p>
      <w:pPr>
        <w:pStyle w:val="Heading2"/>
      </w:pPr>
      <w:r>
        <w:t>Mother identity in EPUS</w:t>
      </w:r>
    </w:p>
    <w:p>
      <w:r>
        <w:t>t_epus_mother_records first uses a valid NIK. If that is unavailable, exact normalized name + date of birth can attach the row to a uniquely identified NIK already present in the source; exact normalized name + phone is another route. Conflicting fallback identities are flagged. Without a known NIK anchor, name + date of birth or name + phone can form a fallback identity; weak or conflicting records remain source-specific.</w:t>
      </w:r>
    </w:p>
    <w:p>
      <w:pPr>
        <w:pStyle w:val="Heading2"/>
      </w:pPr>
      <w:r>
        <w:t>Pregnancy episodes within a mother</w:t>
      </w:r>
    </w:p>
    <w:p>
      <w:r>
        <w:t>EPUS derives reference dates from HPHT, HPL or delivery evidence, groups compatible reference dates within each mother, and assigns other records by their timing and event type. Records that cannot be assigned retain fallback/source-specific episode handling rather than being silently attached to an arbitrary pregnancy.</w:t>
      </w:r>
    </w:p>
    <w:p>
      <w:r>
        <w:t>SIGIZI uses cleaned NIK when available. Where it is missing, a pregnancy signature can link to a unique NIK; name, date of birth and geography provide fallback identities. Its signature includes the core name, Puskesmas, village and pregnancy anchor. The initial anchor uses HPHT, otherwise HPL minus the assumed pregnancy duration. Rows without an anchor do not enter the anchored episode grouping, although they remain available in source/evidence processing.</w:t>
      </w:r>
    </w:p>
    <w:p>
      <w:r>
        <w:t>For each source, records are ordered by their pregnancy anchor and separated when the gap exceeds that source’s grouping tolerance. This is an initial episode-building step; canonicalization later compares the episodes again with stronger combinations of evidence.</w:t>
      </w:r>
    </w:p>
    <w:p>
      <w:pPr>
        <w:pStyle w:val="Heading2"/>
      </w:pPr>
      <w:r>
        <w:t>Deduplicating EPUS ANC visits</w:t>
      </w:r>
    </w:p>
    <w:p>
      <w:r>
        <w:t>Within the same assigned pregnancy and ANC date, records from the ANC and pregnancy-visit extracts are combined when there is no conflict between known Puskesmas. If known facilities differ, the visits remain separated by facility. A record with missing facility cannot be assigned to a specific facility when that date has conflicting facilities, so it stays separate. Missing ANC dates also stay source-specific.</w:t>
      </w:r>
    </w:p>
    <w:p>
      <w:pPr>
        <w:pStyle w:val="Heading2"/>
      </w:pPr>
      <w:r>
        <w:t>Example: repeated visits versus repeated pregnancies</w:t>
      </w:r>
    </w:p>
    <w:p>
      <w:r>
        <w:t>An ANC export and a pregnancy-visit export may describe the same encounter. The visit stage can combine them when pregnancy, date and facility conditions agree. A later pregnancy for the same mother must receive a separate episode even when her name, NIK and phone are unchanged.</w:t>
      </w:r>
    </w:p>
    <w:p>
      <w:pPr>
        <w:pStyle w:val="CaptionText"/>
      </w:pPr>
      <w:r>
        <w:t>Source: 05_epus_mother.sql, 06_epus_pregnancy_records.sql, 07_epus_anc_events.sql and 10_sigizi_episodes.sql. These rules describe different grains: mother, pregnancy and visit.</w:t>
      </w:r>
    </w:p>
    <w:p>
      <w:pPr>
        <w:pStyle w:val="Heading2"/>
        <w:pageBreakBefore/>
      </w:pPr>
      <w:r>
        <w:t>Matching SIGIZI pregnancies with EPUS pregnancies</w:t>
      </w:r>
    </w:p>
    <w:p>
      <w:r>
        <w:t>The script first canonicalizes episodes within SIGIZI and within EPUS. It then compares the canonical episodes across sources. The cross-source candidate rules below appear in priority order. “Anchor” means a date representing the pregnancy’s timing; DOB means the mother’s date of birth.</w:t>
      </w:r>
    </w:p>
    <w:tbl>
      <w:tblPr>
        <w:tblStyle w:val="TableGrid"/>
        <w:tblW w:type="dxa" w:w="9360"/>
        <w:jc w:val="left"/>
        <w:tblLayout w:type="fixed"/>
        <w:tblLook w:firstColumn="1" w:firstRow="1" w:lastColumn="0" w:lastRow="0" w:noHBand="0" w:noVBand="1" w:val="04A0"/>
        <w:tblInd w:type="dxa" w:w="120"/>
      </w:tblPr>
      <w:tblGrid>
        <w:gridCol w:w="3000"/>
        <w:gridCol w:w="6360"/>
      </w:tblGrid>
      <w:tr>
        <w:trPr>
          <w:cantSplit/>
          <w:tblHeader/>
        </w:trPr>
        <w:tc>
          <w:tcPr>
            <w:tcW w:type="dxa" w:w="3000"/>
            <w:shd w:fill="F2F4F7"/>
            <w:tcMar>
              <w:top w:w="80" w:type="dxa"/>
              <w:bottom w:w="80" w:type="dxa"/>
              <w:start w:w="120" w:type="dxa"/>
              <w:end w:w="120" w:type="dxa"/>
            </w:tcMar>
          </w:tcPr>
          <w:p>
            <w:pPr>
              <w:pStyle w:val="TableText"/>
            </w:pPr>
            <w:r>
              <w:rPr>
                <w:b/>
              </w:rPr>
              <w:t>Match family</w:t>
            </w:r>
          </w:p>
        </w:tc>
        <w:tc>
          <w:tcPr>
            <w:tcW w:type="dxa" w:w="6360"/>
            <w:shd w:fill="F2F4F7"/>
            <w:tcMar>
              <w:top w:w="80" w:type="dxa"/>
              <w:bottom w:w="80" w:type="dxa"/>
              <w:start w:w="120" w:type="dxa"/>
              <w:end w:w="120" w:type="dxa"/>
            </w:tcMar>
          </w:tcPr>
          <w:p>
            <w:pPr>
              <w:pStyle w:val="TableText"/>
            </w:pPr>
            <w:r>
              <w:rPr>
                <w:b/>
              </w:rPr>
              <w:t>Required agreement</w:t>
            </w:r>
          </w:p>
        </w:tc>
      </w:tr>
      <w:tr>
        <w:trPr>
          <w:cantSplit/>
        </w:trPr>
        <w:tc>
          <w:tcPr>
            <w:tcW w:type="dxa" w:w="3000"/>
            <w:tcMar>
              <w:top w:w="80" w:type="dxa"/>
              <w:bottom w:w="80" w:type="dxa"/>
              <w:start w:w="120" w:type="dxa"/>
              <w:end w:w="120" w:type="dxa"/>
            </w:tcMar>
          </w:tcPr>
          <w:p>
            <w:pPr>
              <w:pStyle w:val="TableText"/>
            </w:pPr>
            <w:r>
              <w:t>Exact NIK + anchor</w:t>
            </w:r>
          </w:p>
        </w:tc>
        <w:tc>
          <w:tcPr>
            <w:tcW w:type="dxa" w:w="6360"/>
            <w:tcMar>
              <w:top w:w="80" w:type="dxa"/>
              <w:bottom w:w="80" w:type="dxa"/>
              <w:start w:w="120" w:type="dxa"/>
              <w:end w:w="120" w:type="dxa"/>
            </w:tcMar>
          </w:tcPr>
          <w:p>
            <w:pPr>
              <w:pStyle w:val="TableText"/>
            </w:pPr>
            <w:r>
              <w:t>Same non-null cleaned NIK and pregnancy anchors within ninety days. Within-source canonicalization uses a thirty-day anchor tolerance for this rule.</w:t>
            </w:r>
          </w:p>
        </w:tc>
      </w:tr>
      <w:tr>
        <w:trPr>
          <w:cantSplit/>
        </w:trPr>
        <w:tc>
          <w:tcPr>
            <w:tcW w:type="dxa" w:w="3000"/>
            <w:tcMar>
              <w:top w:w="80" w:type="dxa"/>
              <w:bottom w:w="80" w:type="dxa"/>
              <w:start w:w="120" w:type="dxa"/>
              <w:end w:w="120" w:type="dxa"/>
            </w:tcMar>
          </w:tcPr>
          <w:p>
            <w:pPr>
              <w:pStyle w:val="TableText"/>
            </w:pPr>
            <w:r>
              <w:t>Strong name + DOB + HPHT</w:t>
            </w:r>
          </w:p>
        </w:tc>
        <w:tc>
          <w:tcPr>
            <w:tcW w:type="dxa" w:w="6360"/>
            <w:tcMar>
              <w:top w:w="80" w:type="dxa"/>
              <w:bottom w:w="80" w:type="dxa"/>
              <w:start w:w="120" w:type="dxa"/>
              <w:end w:w="120" w:type="dxa"/>
            </w:tcMar>
          </w:tcPr>
          <w:p>
            <w:pPr>
              <w:pStyle w:val="TableText"/>
            </w:pPr>
            <w:r>
              <w:t>Exact core or compact name, exact DOB, HPHT within fourteen days, plus another supporting date, location or phone condition.</w:t>
            </w:r>
          </w:p>
        </w:tc>
      </w:tr>
      <w:tr>
        <w:trPr>
          <w:cantSplit/>
        </w:trPr>
        <w:tc>
          <w:tcPr>
            <w:tcW w:type="dxa" w:w="3000"/>
            <w:tcMar>
              <w:top w:w="80" w:type="dxa"/>
              <w:bottom w:w="80" w:type="dxa"/>
              <w:start w:w="120" w:type="dxa"/>
              <w:end w:w="120" w:type="dxa"/>
            </w:tcMar>
          </w:tcPr>
          <w:p>
            <w:pPr>
              <w:pStyle w:val="TableText"/>
            </w:pPr>
            <w:r>
              <w:t>Strong name + DOB + HPL</w:t>
            </w:r>
          </w:p>
        </w:tc>
        <w:tc>
          <w:tcPr>
            <w:tcW w:type="dxa" w:w="6360"/>
            <w:tcMar>
              <w:top w:w="80" w:type="dxa"/>
              <w:bottom w:w="80" w:type="dxa"/>
              <w:start w:w="120" w:type="dxa"/>
              <w:end w:w="120" w:type="dxa"/>
            </w:tcMar>
          </w:tcPr>
          <w:p>
            <w:pPr>
              <w:pStyle w:val="TableText"/>
            </w:pPr>
            <w:r>
              <w:t>Exact core or compact name, exact DOB, HPL within fourteen days, plus another supporting delivery, location or phone condition.</w:t>
            </w:r>
          </w:p>
        </w:tc>
      </w:tr>
      <w:tr>
        <w:trPr>
          <w:cantSplit/>
        </w:trPr>
        <w:tc>
          <w:tcPr>
            <w:tcW w:type="dxa" w:w="3000"/>
            <w:tcMar>
              <w:top w:w="80" w:type="dxa"/>
              <w:bottom w:w="80" w:type="dxa"/>
              <w:start w:w="120" w:type="dxa"/>
              <w:end w:w="120" w:type="dxa"/>
            </w:tcMar>
          </w:tcPr>
          <w:p>
            <w:pPr>
              <w:pStyle w:val="TableText"/>
            </w:pPr>
            <w:r>
              <w:t>Strong name + DOB + delivery</w:t>
            </w:r>
          </w:p>
        </w:tc>
        <w:tc>
          <w:tcPr>
            <w:tcW w:type="dxa" w:w="6360"/>
            <w:tcMar>
              <w:top w:w="80" w:type="dxa"/>
              <w:bottom w:w="80" w:type="dxa"/>
              <w:start w:w="120" w:type="dxa"/>
              <w:end w:w="120" w:type="dxa"/>
            </w:tcMar>
          </w:tcPr>
          <w:p>
            <w:pPr>
              <w:pStyle w:val="TableText"/>
            </w:pPr>
            <w:r>
              <w:t>Exact core or compact name, exact DOB, delivery dates within three days, plus a supporting HPL, location or phone condition.</w:t>
            </w:r>
          </w:p>
        </w:tc>
      </w:tr>
      <w:tr>
        <w:trPr>
          <w:cantSplit/>
        </w:trPr>
        <w:tc>
          <w:tcPr>
            <w:tcW w:type="dxa" w:w="3000"/>
            <w:tcMar>
              <w:top w:w="80" w:type="dxa"/>
              <w:bottom w:w="80" w:type="dxa"/>
              <w:start w:w="120" w:type="dxa"/>
              <w:end w:w="120" w:type="dxa"/>
            </w:tcMar>
          </w:tcPr>
          <w:p>
            <w:pPr>
              <w:pStyle w:val="TableText"/>
            </w:pPr>
            <w:r>
              <w:t>Name + DOB + HPHT</w:t>
            </w:r>
          </w:p>
        </w:tc>
        <w:tc>
          <w:tcPr>
            <w:tcW w:type="dxa" w:w="6360"/>
            <w:tcMar>
              <w:top w:w="80" w:type="dxa"/>
              <w:bottom w:w="80" w:type="dxa"/>
              <w:start w:w="120" w:type="dxa"/>
              <w:end w:w="120" w:type="dxa"/>
            </w:tcMar>
          </w:tcPr>
          <w:p>
            <w:pPr>
              <w:pStyle w:val="TableText"/>
            </w:pPr>
            <w:r>
              <w:t>Exact core name and DOB with exact HPHT, or HPHT within seven days under the fallback rule.</w:t>
            </w:r>
          </w:p>
        </w:tc>
      </w:tr>
      <w:tr>
        <w:trPr>
          <w:cantSplit/>
        </w:trPr>
        <w:tc>
          <w:tcPr>
            <w:tcW w:type="dxa" w:w="3000"/>
            <w:tcMar>
              <w:top w:w="80" w:type="dxa"/>
              <w:bottom w:w="80" w:type="dxa"/>
              <w:start w:w="120" w:type="dxa"/>
              <w:end w:w="120" w:type="dxa"/>
            </w:tcMar>
          </w:tcPr>
          <w:p>
            <w:pPr>
              <w:pStyle w:val="TableText"/>
            </w:pPr>
            <w:r>
              <w:t>Name + DOB + facility + anchor</w:t>
            </w:r>
          </w:p>
        </w:tc>
        <w:tc>
          <w:tcPr>
            <w:tcW w:type="dxa" w:w="6360"/>
            <w:tcMar>
              <w:top w:w="80" w:type="dxa"/>
              <w:bottom w:w="80" w:type="dxa"/>
              <w:start w:w="120" w:type="dxa"/>
              <w:end w:w="120" w:type="dxa"/>
            </w:tcMar>
          </w:tcPr>
          <w:p>
            <w:pPr>
              <w:pStyle w:val="TableText"/>
            </w:pPr>
            <w:r>
              <w:t>Exact core name, DOB and Puskesmas; cross-source anchors within ninety days.</w:t>
            </w:r>
          </w:p>
        </w:tc>
      </w:tr>
      <w:tr>
        <w:trPr>
          <w:cantSplit/>
        </w:trPr>
        <w:tc>
          <w:tcPr>
            <w:tcW w:type="dxa" w:w="3000"/>
            <w:tcMar>
              <w:top w:w="80" w:type="dxa"/>
              <w:bottom w:w="80" w:type="dxa"/>
              <w:start w:w="120" w:type="dxa"/>
              <w:end w:w="120" w:type="dxa"/>
            </w:tcMar>
          </w:tcPr>
          <w:p>
            <w:pPr>
              <w:pStyle w:val="TableText"/>
            </w:pPr>
            <w:r>
              <w:t>Name + HPHT + facility</w:t>
            </w:r>
          </w:p>
        </w:tc>
        <w:tc>
          <w:tcPr>
            <w:tcW w:type="dxa" w:w="6360"/>
            <w:tcMar>
              <w:top w:w="80" w:type="dxa"/>
              <w:bottom w:w="80" w:type="dxa"/>
              <w:start w:w="120" w:type="dxa"/>
              <w:end w:w="120" w:type="dxa"/>
            </w:tcMar>
          </w:tcPr>
          <w:p>
            <w:pPr>
              <w:pStyle w:val="TableText"/>
            </w:pPr>
            <w:r>
              <w:t>Exact core name and Puskesmas with exact HPHT, or HPHT within seven days.</w:t>
            </w:r>
          </w:p>
        </w:tc>
      </w:tr>
      <w:tr>
        <w:trPr>
          <w:cantSplit/>
        </w:trPr>
        <w:tc>
          <w:tcPr>
            <w:tcW w:type="dxa" w:w="3000"/>
            <w:tcMar>
              <w:top w:w="80" w:type="dxa"/>
              <w:bottom w:w="80" w:type="dxa"/>
              <w:start w:w="120" w:type="dxa"/>
              <w:end w:w="120" w:type="dxa"/>
            </w:tcMar>
          </w:tcPr>
          <w:p>
            <w:pPr>
              <w:pStyle w:val="TableText"/>
            </w:pPr>
            <w:r>
              <w:t>Name + delivery + facility</w:t>
            </w:r>
          </w:p>
        </w:tc>
        <w:tc>
          <w:tcPr>
            <w:tcW w:type="dxa" w:w="6360"/>
            <w:tcMar>
              <w:top w:w="80" w:type="dxa"/>
              <w:bottom w:w="80" w:type="dxa"/>
              <w:start w:w="120" w:type="dxa"/>
              <w:end w:w="120" w:type="dxa"/>
            </w:tcMar>
          </w:tcPr>
          <w:p>
            <w:pPr>
              <w:pStyle w:val="TableText"/>
            </w:pPr>
            <w:r>
              <w:t>Exact core name and Puskesmas, with delivery dates within three days.</w:t>
            </w:r>
          </w:p>
        </w:tc>
      </w:tr>
      <w:tr>
        <w:trPr>
          <w:cantSplit/>
        </w:trPr>
        <w:tc>
          <w:tcPr>
            <w:tcW w:type="dxa" w:w="3000"/>
            <w:tcMar>
              <w:top w:w="80" w:type="dxa"/>
              <w:bottom w:w="80" w:type="dxa"/>
              <w:start w:w="120" w:type="dxa"/>
              <w:end w:w="120" w:type="dxa"/>
            </w:tcMar>
          </w:tcPr>
          <w:p>
            <w:pPr>
              <w:pStyle w:val="TableText"/>
            </w:pPr>
            <w:r>
              <w:t>Name + DOB + HPL</w:t>
            </w:r>
          </w:p>
        </w:tc>
        <w:tc>
          <w:tcPr>
            <w:tcW w:type="dxa" w:w="6360"/>
            <w:tcMar>
              <w:top w:w="80" w:type="dxa"/>
              <w:bottom w:w="80" w:type="dxa"/>
              <w:start w:w="120" w:type="dxa"/>
              <w:end w:w="120" w:type="dxa"/>
            </w:tcMar>
          </w:tcPr>
          <w:p>
            <w:pPr>
              <w:pStyle w:val="TableText"/>
            </w:pPr>
            <w:r>
              <w:t>Exact core name and DOB, with HPL within seven days.</w:t>
            </w:r>
          </w:p>
        </w:tc>
      </w:tr>
      <w:tr>
        <w:trPr>
          <w:cantSplit/>
        </w:trPr>
        <w:tc>
          <w:tcPr>
            <w:tcW w:type="dxa" w:w="3000"/>
            <w:tcMar>
              <w:top w:w="80" w:type="dxa"/>
              <w:bottom w:w="80" w:type="dxa"/>
              <w:start w:w="120" w:type="dxa"/>
              <w:end w:w="120" w:type="dxa"/>
            </w:tcMar>
          </w:tcPr>
          <w:p>
            <w:pPr>
              <w:pStyle w:val="TableText"/>
            </w:pPr>
            <w:r>
              <w:t>Name + phone + facility + anchor</w:t>
            </w:r>
          </w:p>
        </w:tc>
        <w:tc>
          <w:tcPr>
            <w:tcW w:type="dxa" w:w="6360"/>
            <w:tcMar>
              <w:top w:w="80" w:type="dxa"/>
              <w:bottom w:w="80" w:type="dxa"/>
              <w:start w:w="120" w:type="dxa"/>
              <w:end w:w="120" w:type="dxa"/>
            </w:tcMar>
          </w:tcPr>
          <w:p>
            <w:pPr>
              <w:pStyle w:val="TableText"/>
            </w:pPr>
            <w:r>
              <w:t>Exact core name, accepted comparison phone and Puskesmas, with anchors within thirty days.</w:t>
            </w:r>
          </w:p>
        </w:tc>
      </w:tr>
    </w:tbl>
    <w:p>
      <w:r>
        <w:t>The strong name/DOB rules can permit NIK disagreement when their additional evidence is satisfied. The weaker fallback rules block conflicting trusted NIKs. A trusted NIK is an ordinary identifier of the expected length that is not classified as a placeholder or rounded value; this is a data-quality definition, not verification against a national registry.</w:t>
      </w:r>
    </w:p>
    <w:p>
      <w:r>
        <w:t>If several methods propose the same episode pair, the best method is retained. Across sources, candidate pairs are ranked by rule priority, matching-date difference, anchor difference and deterministic identifiers. A pair is selected when each side ranks the other first among the remaining candidates; assigned episodes are removed from subsequent rounds.</w:t>
      </w:r>
    </w:p>
    <w:p>
      <w:pPr>
        <w:pStyle w:val="CaptionText"/>
      </w:pPr>
      <w:r>
        <w:t>Source: 20_pregnancy_canonicalization.sql. This is deterministic rule-based linkage; the SQL does not train a probabilistic matching model. Time tolerances above are rule definitions, not result totals.</w:t>
      </w:r>
    </w:p>
    <w:p>
      <w:pPr>
        <w:pStyle w:val="Heading2"/>
        <w:pageBreakBefore/>
      </w:pPr>
      <w:r>
        <w:t>Final pregnancy merges and controlled rescue rules</w:t>
      </w:r>
    </w:p>
    <w:p>
      <w:r>
        <w:t>After the initial cross-source join, the final guard compares remaining pregnancy rows again. It can merge rows that the earlier rules left apart, including controlled corrections for imperfect identity data. These decisions are recorded in t_pregnancy_final_canonical_map_v3_3.</w:t>
      </w:r>
    </w:p>
    <w:tbl>
      <w:tblPr>
        <w:tblStyle w:val="TableGrid"/>
        <w:tblW w:type="dxa" w:w="9360"/>
        <w:jc w:val="left"/>
        <w:tblLayout w:type="fixed"/>
        <w:tblLook w:firstColumn="1" w:firstRow="1" w:lastColumn="0" w:lastRow="0" w:noHBand="0" w:noVBand="1" w:val="04A0"/>
        <w:tblInd w:type="dxa" w:w="120"/>
      </w:tblPr>
      <w:tblGrid>
        <w:gridCol w:w="3000"/>
        <w:gridCol w:w="6360"/>
      </w:tblGrid>
      <w:tr>
        <w:trPr>
          <w:cantSplit/>
          <w:tblHeader/>
        </w:trPr>
        <w:tc>
          <w:tcPr>
            <w:tcW w:type="dxa" w:w="3000"/>
            <w:shd w:fill="F2F4F7"/>
            <w:tcMar>
              <w:top w:w="80" w:type="dxa"/>
              <w:bottom w:w="80" w:type="dxa"/>
              <w:start w:w="120" w:type="dxa"/>
              <w:end w:w="120" w:type="dxa"/>
            </w:tcMar>
          </w:tcPr>
          <w:p>
            <w:pPr>
              <w:pStyle w:val="TableText"/>
            </w:pPr>
            <w:r>
              <w:rPr>
                <w:b/>
              </w:rPr>
              <w:t>Rescue or final rule</w:t>
            </w:r>
          </w:p>
        </w:tc>
        <w:tc>
          <w:tcPr>
            <w:tcW w:type="dxa" w:w="6360"/>
            <w:shd w:fill="F2F4F7"/>
            <w:tcMar>
              <w:top w:w="80" w:type="dxa"/>
              <w:bottom w:w="80" w:type="dxa"/>
              <w:start w:w="120" w:type="dxa"/>
              <w:end w:w="120" w:type="dxa"/>
            </w:tcMar>
          </w:tcPr>
          <w:p>
            <w:pPr>
              <w:pStyle w:val="TableText"/>
            </w:pPr>
            <w:r>
              <w:rPr>
                <w:b/>
              </w:rPr>
              <w:t>Conditions beyond a similar name</w:t>
            </w:r>
          </w:p>
        </w:tc>
      </w:tr>
      <w:tr>
        <w:trPr>
          <w:cantSplit/>
        </w:trPr>
        <w:tc>
          <w:tcPr>
            <w:tcW w:type="dxa" w:w="3000"/>
            <w:tcMar>
              <w:top w:w="80" w:type="dxa"/>
              <w:bottom w:w="80" w:type="dxa"/>
              <w:start w:w="120" w:type="dxa"/>
              <w:end w:w="120" w:type="dxa"/>
            </w:tcMar>
          </w:tcPr>
          <w:p>
            <w:pPr>
              <w:pStyle w:val="TableText"/>
            </w:pPr>
            <w:r>
              <w:t>Exact NIK</w:t>
            </w:r>
          </w:p>
        </w:tc>
        <w:tc>
          <w:tcPr>
            <w:tcW w:type="dxa" w:w="6360"/>
            <w:tcMar>
              <w:top w:w="80" w:type="dxa"/>
              <w:bottom w:w="80" w:type="dxa"/>
              <w:start w:w="120" w:type="dxa"/>
              <w:end w:w="120" w:type="dxa"/>
            </w:tcMar>
          </w:tcPr>
          <w:p>
            <w:pPr>
              <w:pStyle w:val="TableText"/>
            </w:pPr>
            <w:r>
              <w:t>Same cleaned NIK with anchors within thirty days.</w:t>
            </w:r>
          </w:p>
        </w:tc>
      </w:tr>
      <w:tr>
        <w:trPr>
          <w:cantSplit/>
        </w:trPr>
        <w:tc>
          <w:tcPr>
            <w:tcW w:type="dxa" w:w="3000"/>
            <w:tcMar>
              <w:top w:w="80" w:type="dxa"/>
              <w:bottom w:w="80" w:type="dxa"/>
              <w:start w:w="120" w:type="dxa"/>
              <w:end w:w="120" w:type="dxa"/>
            </w:tcMar>
          </w:tcPr>
          <w:p>
            <w:pPr>
              <w:pStyle w:val="TableText"/>
            </w:pPr>
            <w:r>
              <w:t>Strong exact/compact identity</w:t>
            </w:r>
          </w:p>
        </w:tc>
        <w:tc>
          <w:tcPr>
            <w:tcW w:type="dxa" w:w="6360"/>
            <w:tcMar>
              <w:top w:w="80" w:type="dxa"/>
              <w:bottom w:w="80" w:type="dxa"/>
              <w:start w:w="120" w:type="dxa"/>
              <w:end w:w="120" w:type="dxa"/>
            </w:tcMar>
          </w:tcPr>
          <w:p>
            <w:pPr>
              <w:pStyle w:val="TableText"/>
            </w:pPr>
            <w:r>
              <w:t>Exact DOB plus nearby HPHT, HPL or delivery date, and an additional supporting field.</w:t>
            </w:r>
          </w:p>
        </w:tc>
      </w:tr>
      <w:tr>
        <w:trPr>
          <w:cantSplit/>
        </w:trPr>
        <w:tc>
          <w:tcPr>
            <w:tcW w:type="dxa" w:w="3000"/>
            <w:tcMar>
              <w:top w:w="80" w:type="dxa"/>
              <w:bottom w:w="80" w:type="dxa"/>
              <w:start w:w="120" w:type="dxa"/>
              <w:end w:w="120" w:type="dxa"/>
            </w:tcMar>
          </w:tcPr>
          <w:p>
            <w:pPr>
              <w:pStyle w:val="TableText"/>
            </w:pPr>
            <w:r>
              <w:t>Fuzzy name</w:t>
            </w:r>
          </w:p>
        </w:tc>
        <w:tc>
          <w:tcPr>
            <w:tcW w:type="dxa" w:w="6360"/>
            <w:tcMar>
              <w:top w:w="80" w:type="dxa"/>
              <w:bottom w:w="80" w:type="dxa"/>
              <w:start w:w="120" w:type="dxa"/>
              <w:end w:w="120" w:type="dxa"/>
            </w:tcMar>
          </w:tcPr>
          <w:p>
            <w:pPr>
              <w:pStyle w:val="TableText"/>
            </w:pPr>
            <w:r>
              <w:t>Exact DOB, HPHT within fourteen days and at least two corroborators. The name must also pass the edit-distance and minimum-length tests.</w:t>
            </w:r>
          </w:p>
        </w:tc>
      </w:tr>
      <w:tr>
        <w:trPr>
          <w:cantSplit/>
        </w:trPr>
        <w:tc>
          <w:tcPr>
            <w:tcW w:type="dxa" w:w="3000"/>
            <w:tcMar>
              <w:top w:w="80" w:type="dxa"/>
              <w:bottom w:w="80" w:type="dxa"/>
              <w:start w:w="120" w:type="dxa"/>
              <w:end w:w="120" w:type="dxa"/>
            </w:tcMar>
          </w:tcPr>
          <w:p>
            <w:pPr>
              <w:pStyle w:val="TableText"/>
            </w:pPr>
            <w:r>
              <w:t>Phone-based identity</w:t>
            </w:r>
          </w:p>
        </w:tc>
        <w:tc>
          <w:tcPr>
            <w:tcW w:type="dxa" w:w="6360"/>
            <w:tcMar>
              <w:top w:w="80" w:type="dxa"/>
              <w:bottom w:w="80" w:type="dxa"/>
              <w:start w:w="120" w:type="dxa"/>
              <w:end w:w="120" w:type="dxa"/>
            </w:tcMar>
          </w:tcPr>
          <w:p>
            <w:pPr>
              <w:pStyle w:val="TableText"/>
            </w:pPr>
            <w:r>
              <w:t>Exact phone and DOB, with both HPHT and HPL within their fourteen-day tolerances. Can recover name/NIK errors.</w:t>
            </w:r>
          </w:p>
        </w:tc>
      </w:tr>
      <w:tr>
        <w:trPr>
          <w:cantSplit/>
        </w:trPr>
        <w:tc>
          <w:tcPr>
            <w:tcW w:type="dxa" w:w="3000"/>
            <w:tcMar>
              <w:top w:w="80" w:type="dxa"/>
              <w:bottom w:w="80" w:type="dxa"/>
              <w:start w:w="120" w:type="dxa"/>
              <w:end w:w="120" w:type="dxa"/>
            </w:tcMar>
          </w:tcPr>
          <w:p>
            <w:pPr>
              <w:pStyle w:val="TableText"/>
            </w:pPr>
            <w:r>
              <w:t>DOB missing on a side</w:t>
            </w:r>
          </w:p>
        </w:tc>
        <w:tc>
          <w:tcPr>
            <w:tcW w:type="dxa" w:w="6360"/>
            <w:tcMar>
              <w:top w:w="80" w:type="dxa"/>
              <w:bottom w:w="80" w:type="dxa"/>
              <w:start w:w="120" w:type="dxa"/>
              <w:end w:w="120" w:type="dxa"/>
            </w:tcMar>
          </w:tcPr>
          <w:p>
            <w:pPr>
              <w:pStyle w:val="TableText"/>
            </w:pPr>
            <w:r>
              <w:t>Exact/compact name, exact HPHT and HPL, and agreement in at least two location components.</w:t>
            </w:r>
          </w:p>
        </w:tc>
      </w:tr>
      <w:tr>
        <w:trPr>
          <w:cantSplit/>
        </w:trPr>
        <w:tc>
          <w:tcPr>
            <w:tcW w:type="dxa" w:w="3000"/>
            <w:tcMar>
              <w:top w:w="80" w:type="dxa"/>
              <w:bottom w:w="80" w:type="dxa"/>
              <w:start w:w="120" w:type="dxa"/>
              <w:end w:w="120" w:type="dxa"/>
            </w:tcMar>
          </w:tcPr>
          <w:p>
            <w:pPr>
              <w:pStyle w:val="TableText"/>
            </w:pPr>
            <w:r>
              <w:t>Strong pregnancy fingerprint</w:t>
            </w:r>
          </w:p>
        </w:tc>
        <w:tc>
          <w:tcPr>
            <w:tcW w:type="dxa" w:w="6360"/>
            <w:tcMar>
              <w:top w:w="80" w:type="dxa"/>
              <w:bottom w:w="80" w:type="dxa"/>
              <w:start w:w="120" w:type="dxa"/>
              <w:end w:w="120" w:type="dxa"/>
            </w:tcMar>
          </w:tcPr>
          <w:p>
            <w:pPr>
              <w:pStyle w:val="TableText"/>
            </w:pPr>
            <w:r>
              <w:t>Exact/compact name, exact HPHT and HPL, and at least two corroborators. NIK/DOB conflict can be retained as QA while the rows merge.</w:t>
            </w:r>
          </w:p>
        </w:tc>
      </w:tr>
      <w:tr>
        <w:trPr>
          <w:cantSplit/>
        </w:trPr>
        <w:tc>
          <w:tcPr>
            <w:tcW w:type="dxa" w:w="3000"/>
            <w:tcMar>
              <w:top w:w="80" w:type="dxa"/>
              <w:bottom w:w="80" w:type="dxa"/>
              <w:start w:w="120" w:type="dxa"/>
              <w:end w:w="120" w:type="dxa"/>
            </w:tcMar>
          </w:tcPr>
          <w:p>
            <w:pPr>
              <w:pStyle w:val="TableText"/>
            </w:pPr>
            <w:r>
              <w:t>Unique high-conflict fingerprint</w:t>
            </w:r>
          </w:p>
        </w:tc>
        <w:tc>
          <w:tcPr>
            <w:tcW w:type="dxa" w:w="6360"/>
            <w:tcMar>
              <w:top w:w="80" w:type="dxa"/>
              <w:bottom w:w="80" w:type="dxa"/>
              <w:start w:w="120" w:type="dxa"/>
              <w:end w:w="120" w:type="dxa"/>
            </w:tcMar>
          </w:tcPr>
          <w:p>
            <w:pPr>
              <w:pStyle w:val="TableText"/>
            </w:pPr>
            <w:r>
              <w:t>Same compact-name/facility/HPHT/HPL fingerprint containing only a pair of episodes; permits controlled identity disagreement.</w:t>
            </w:r>
          </w:p>
        </w:tc>
      </w:tr>
      <w:tr>
        <w:trPr>
          <w:cantSplit/>
        </w:trPr>
        <w:tc>
          <w:tcPr>
            <w:tcW w:type="dxa" w:w="3000"/>
            <w:tcMar>
              <w:top w:w="80" w:type="dxa"/>
              <w:bottom w:w="80" w:type="dxa"/>
              <w:start w:w="120" w:type="dxa"/>
              <w:end w:w="120" w:type="dxa"/>
            </w:tcMar>
          </w:tcPr>
          <w:p>
            <w:pPr>
              <w:pStyle w:val="TableText"/>
            </w:pPr>
            <w:r>
              <w:t>Conservative fallback</w:t>
            </w:r>
          </w:p>
        </w:tc>
        <w:tc>
          <w:tcPr>
            <w:tcW w:type="dxa" w:w="6360"/>
            <w:tcMar>
              <w:top w:w="80" w:type="dxa"/>
              <w:bottom w:w="80" w:type="dxa"/>
              <w:start w:w="120" w:type="dxa"/>
              <w:end w:w="120" w:type="dxa"/>
            </w:tcMar>
          </w:tcPr>
          <w:p>
            <w:pPr>
              <w:pStyle w:val="TableText"/>
            </w:pPr>
            <w:r>
              <w:t>Exact core name and DOB, HPHT within seven days, and no trusted-NIK conflict.</w:t>
            </w:r>
          </w:p>
        </w:tc>
      </w:tr>
    </w:tbl>
    <w:p>
      <w:pPr>
        <w:pStyle w:val="Heading2"/>
      </w:pPr>
      <w:r>
        <w:t>What “fuzzy” and “corroborator” mean here</w:t>
      </w:r>
    </w:p>
    <w:p>
      <w:r>
        <w:t>Compact matching handles formatting differences, such as “SITI AMINAH” versus “SITIAMINAH”. Fuzzy matching allows a small character edit distance: shorter eligible names permit a single edit, while longer names permit two. Names shorter than the configured minimum are excluded. This is character similarity, not a claim that different names refer to the same person.</w:t>
      </w:r>
    </w:p>
    <w:p>
      <w:r>
        <w:t>In the final guard, corroborators are matching Puskesmas, village, Posyandu, comparison phone, or a close source delivery date. The SQL counts these signals; it does not prove that they are statistically independent. The special fingerprint routes retain identity-conflict flags for review.</w:t>
      </w:r>
    </w:p>
    <w:p>
      <w:r>
        <w:t>Candidate merges point toward the higher-quality episode, with a stable identifier tie-break. Representative fields and source arrays are rebuilt for the final group. A changed canonical ID therefore needs source-map tracing before it is interpreted as missing data.</w:t>
      </w:r>
    </w:p>
    <w:p>
      <w:pPr>
        <w:pStyle w:val="CaptionText"/>
      </w:pPr>
      <w:r>
        <w:t>Source: final pair features and final guard in 20_pregnancy_canonicalization.sql. There is no general “one-digit NIK difference means match” rule in this reviewed core.</w:t>
      </w:r>
    </w:p>
    <w:p>
      <w:pPr>
        <w:pStyle w:val="Heading2"/>
        <w:pageBreakBefore/>
      </w:pPr>
      <w:r>
        <w:t>Deduplicating delivery reports</w:t>
      </w:r>
    </w:p>
    <w:p>
      <w:r>
        <w:t>This stage asks: do these source reports describe the same delivery? It runs before linking a delivery to a pregnancy. The input is t_delivery_dedup_base; the initial outputs are t_delivery_event_master_unlinked and t_delivery_event_member_map.</w:t>
      </w:r>
    </w:p>
    <w:tbl>
      <w:tblPr>
        <w:tblStyle w:val="TableGrid"/>
        <w:tblW w:type="dxa" w:w="9360"/>
        <w:jc w:val="left"/>
        <w:tblLayout w:type="fixed"/>
        <w:tblLook w:firstColumn="1" w:firstRow="1" w:lastColumn="0" w:lastRow="0" w:noHBand="0" w:noVBand="1" w:val="04A0"/>
        <w:tblInd w:type="dxa" w:w="120"/>
      </w:tblPr>
      <w:tblGrid>
        <w:gridCol w:w="2900"/>
        <w:gridCol w:w="6460"/>
      </w:tblGrid>
      <w:tr>
        <w:trPr>
          <w:cantSplit/>
          <w:tblHeader/>
        </w:trPr>
        <w:tc>
          <w:tcPr>
            <w:tcW w:type="dxa" w:w="2900"/>
            <w:shd w:fill="F2F4F7"/>
            <w:tcMar>
              <w:top w:w="80" w:type="dxa"/>
              <w:bottom w:w="80" w:type="dxa"/>
              <w:start w:w="120" w:type="dxa"/>
              <w:end w:w="120" w:type="dxa"/>
            </w:tcMar>
          </w:tcPr>
          <w:p>
            <w:pPr>
              <w:pStyle w:val="TableText"/>
            </w:pPr>
            <w:r>
              <w:rPr>
                <w:b/>
              </w:rPr>
              <w:t>Delivery deduplication rule</w:t>
            </w:r>
          </w:p>
        </w:tc>
        <w:tc>
          <w:tcPr>
            <w:tcW w:type="dxa" w:w="6460"/>
            <w:shd w:fill="F2F4F7"/>
            <w:tcMar>
              <w:top w:w="80" w:type="dxa"/>
              <w:bottom w:w="80" w:type="dxa"/>
              <w:start w:w="120" w:type="dxa"/>
              <w:end w:w="120" w:type="dxa"/>
            </w:tcMar>
          </w:tcPr>
          <w:p>
            <w:pPr>
              <w:pStyle w:val="TableText"/>
            </w:pPr>
            <w:r>
              <w:rPr>
                <w:b/>
              </w:rPr>
              <w:t>Required evidence</w:t>
            </w:r>
          </w:p>
        </w:tc>
      </w:tr>
      <w:tr>
        <w:trPr>
          <w:cantSplit/>
        </w:trPr>
        <w:tc>
          <w:tcPr>
            <w:tcW w:type="dxa" w:w="2900"/>
            <w:tcMar>
              <w:top w:w="80" w:type="dxa"/>
              <w:bottom w:w="80" w:type="dxa"/>
              <w:start w:w="120" w:type="dxa"/>
              <w:end w:w="120" w:type="dxa"/>
            </w:tcMar>
          </w:tcPr>
          <w:p>
            <w:pPr>
              <w:pStyle w:val="TableText"/>
            </w:pPr>
            <w:r>
              <w:t>Trusted NIK</w:t>
            </w:r>
          </w:p>
        </w:tc>
        <w:tc>
          <w:tcPr>
            <w:tcW w:type="dxa" w:w="6460"/>
            <w:tcMar>
              <w:top w:w="80" w:type="dxa"/>
              <w:bottom w:w="80" w:type="dxa"/>
              <w:start w:w="120" w:type="dxa"/>
              <w:end w:w="120" w:type="dxa"/>
            </w:tcMar>
          </w:tcPr>
          <w:p>
            <w:pPr>
              <w:pStyle w:val="TableText"/>
            </w:pPr>
            <w:r>
              <w:t>Exact trusted NIK and delivery dates within three days.</w:t>
            </w:r>
          </w:p>
        </w:tc>
      </w:tr>
      <w:tr>
        <w:trPr>
          <w:cantSplit/>
        </w:trPr>
        <w:tc>
          <w:tcPr>
            <w:tcW w:type="dxa" w:w="2900"/>
            <w:tcMar>
              <w:top w:w="80" w:type="dxa"/>
              <w:bottom w:w="80" w:type="dxa"/>
              <w:start w:w="120" w:type="dxa"/>
              <w:end w:w="120" w:type="dxa"/>
            </w:tcMar>
          </w:tcPr>
          <w:p>
            <w:pPr>
              <w:pStyle w:val="TableText"/>
            </w:pPr>
            <w:r>
              <w:t>Untrusted NIK</w:t>
            </w:r>
          </w:p>
        </w:tc>
        <w:tc>
          <w:tcPr>
            <w:tcW w:type="dxa" w:w="6460"/>
            <w:tcMar>
              <w:top w:w="80" w:type="dxa"/>
              <w:bottom w:w="80" w:type="dxa"/>
              <w:start w:w="120" w:type="dxa"/>
              <w:end w:w="120" w:type="dxa"/>
            </w:tcMar>
          </w:tcPr>
          <w:p>
            <w:pPr>
              <w:pStyle w:val="TableText"/>
            </w:pPr>
            <w:r>
              <w:t>Exact untrusted NIK and close delivery dates, supported by exact/compact name, DOB or phone.</w:t>
            </w:r>
          </w:p>
        </w:tc>
      </w:tr>
      <w:tr>
        <w:trPr>
          <w:cantSplit/>
        </w:trPr>
        <w:tc>
          <w:tcPr>
            <w:tcW w:type="dxa" w:w="2900"/>
            <w:tcMar>
              <w:top w:w="80" w:type="dxa"/>
              <w:bottom w:w="80" w:type="dxa"/>
              <w:start w:w="120" w:type="dxa"/>
              <w:end w:w="120" w:type="dxa"/>
            </w:tcMar>
          </w:tcPr>
          <w:p>
            <w:pPr>
              <w:pStyle w:val="TableText"/>
            </w:pPr>
            <w:r>
              <w:t>Name + DOB</w:t>
            </w:r>
          </w:p>
        </w:tc>
        <w:tc>
          <w:tcPr>
            <w:tcW w:type="dxa" w:w="6460"/>
            <w:tcMar>
              <w:top w:w="80" w:type="dxa"/>
              <w:bottom w:w="80" w:type="dxa"/>
              <w:start w:w="120" w:type="dxa"/>
              <w:end w:w="120" w:type="dxa"/>
            </w:tcMar>
          </w:tcPr>
          <w:p>
            <w:pPr>
              <w:pStyle w:val="TableText"/>
            </w:pPr>
            <w:r>
              <w:t>Exact or compact name, exact DOB and delivery dates within three days.</w:t>
            </w:r>
          </w:p>
        </w:tc>
      </w:tr>
      <w:tr>
        <w:trPr>
          <w:cantSplit/>
        </w:trPr>
        <w:tc>
          <w:tcPr>
            <w:tcW w:type="dxa" w:w="2900"/>
            <w:tcMar>
              <w:top w:w="80" w:type="dxa"/>
              <w:bottom w:w="80" w:type="dxa"/>
              <w:start w:w="120" w:type="dxa"/>
              <w:end w:w="120" w:type="dxa"/>
            </w:tcMar>
          </w:tcPr>
          <w:p>
            <w:pPr>
              <w:pStyle w:val="TableText"/>
            </w:pPr>
            <w:r>
              <w:t>Phone + DOB + name</w:t>
            </w:r>
          </w:p>
        </w:tc>
        <w:tc>
          <w:tcPr>
            <w:tcW w:type="dxa" w:w="6460"/>
            <w:tcMar>
              <w:top w:w="80" w:type="dxa"/>
              <w:bottom w:w="80" w:type="dxa"/>
              <w:start w:w="120" w:type="dxa"/>
              <w:end w:w="120" w:type="dxa"/>
            </w:tcMar>
          </w:tcPr>
          <w:p>
            <w:pPr>
              <w:pStyle w:val="TableText"/>
            </w:pPr>
            <w:r>
              <w:t>Exact comparison phone and DOB, plus exact/compact/fuzzy name and close delivery dates.</w:t>
            </w:r>
          </w:p>
        </w:tc>
      </w:tr>
      <w:tr>
        <w:trPr>
          <w:cantSplit/>
        </w:trPr>
        <w:tc>
          <w:tcPr>
            <w:tcW w:type="dxa" w:w="2900"/>
            <w:tcMar>
              <w:top w:w="80" w:type="dxa"/>
              <w:bottom w:w="80" w:type="dxa"/>
              <w:start w:w="120" w:type="dxa"/>
              <w:end w:w="120" w:type="dxa"/>
            </w:tcMar>
          </w:tcPr>
          <w:p>
            <w:pPr>
              <w:pStyle w:val="TableText"/>
            </w:pPr>
            <w:r>
              <w:t>DOB missing: phone route</w:t>
            </w:r>
          </w:p>
        </w:tc>
        <w:tc>
          <w:tcPr>
            <w:tcW w:type="dxa" w:w="6460"/>
            <w:tcMar>
              <w:top w:w="80" w:type="dxa"/>
              <w:bottom w:w="80" w:type="dxa"/>
              <w:start w:w="120" w:type="dxa"/>
              <w:end w:w="120" w:type="dxa"/>
            </w:tcMar>
          </w:tcPr>
          <w:p>
            <w:pPr>
              <w:pStyle w:val="TableText"/>
            </w:pPr>
            <w:r>
              <w:t>Exact/compact name and phone, with delivery dates within three days.</w:t>
            </w:r>
          </w:p>
        </w:tc>
      </w:tr>
      <w:tr>
        <w:trPr>
          <w:cantSplit/>
        </w:trPr>
        <w:tc>
          <w:tcPr>
            <w:tcW w:type="dxa" w:w="2900"/>
            <w:tcMar>
              <w:top w:w="80" w:type="dxa"/>
              <w:bottom w:w="80" w:type="dxa"/>
              <w:start w:w="120" w:type="dxa"/>
              <w:end w:w="120" w:type="dxa"/>
            </w:tcMar>
          </w:tcPr>
          <w:p>
            <w:pPr>
              <w:pStyle w:val="TableText"/>
            </w:pPr>
            <w:r>
              <w:t>DOB missing: location route</w:t>
            </w:r>
          </w:p>
        </w:tc>
        <w:tc>
          <w:tcPr>
            <w:tcW w:type="dxa" w:w="6460"/>
            <w:tcMar>
              <w:top w:w="80" w:type="dxa"/>
              <w:bottom w:w="80" w:type="dxa"/>
              <w:start w:w="120" w:type="dxa"/>
              <w:end w:w="120" w:type="dxa"/>
            </w:tcMar>
          </w:tcPr>
          <w:p>
            <w:pPr>
              <w:pStyle w:val="TableText"/>
            </w:pPr>
            <w:r>
              <w:t>Exact/compact name, exact delivery date, and matching Puskesmas or village.</w:t>
            </w:r>
          </w:p>
        </w:tc>
      </w:tr>
      <w:tr>
        <w:trPr>
          <w:cantSplit/>
        </w:trPr>
        <w:tc>
          <w:tcPr>
            <w:tcW w:type="dxa" w:w="2900"/>
            <w:tcMar>
              <w:top w:w="80" w:type="dxa"/>
              <w:bottom w:w="80" w:type="dxa"/>
              <w:start w:w="120" w:type="dxa"/>
              <w:end w:w="120" w:type="dxa"/>
            </w:tcMar>
          </w:tcPr>
          <w:p>
            <w:pPr>
              <w:pStyle w:val="TableText"/>
            </w:pPr>
            <w:r>
              <w:t>Fuzzy-name route</w:t>
            </w:r>
          </w:p>
        </w:tc>
        <w:tc>
          <w:tcPr>
            <w:tcW w:type="dxa" w:w="6460"/>
            <w:tcMar>
              <w:top w:w="80" w:type="dxa"/>
              <w:bottom w:w="80" w:type="dxa"/>
              <w:start w:w="120" w:type="dxa"/>
              <w:end w:w="120" w:type="dxa"/>
            </w:tcMar>
          </w:tcPr>
          <w:p>
            <w:pPr>
              <w:pStyle w:val="TableText"/>
            </w:pPr>
            <w:r>
              <w:t>Fuzzy name, exact DOB, delivery dates within a day, and an additional corroborator.</w:t>
            </w:r>
          </w:p>
        </w:tc>
      </w:tr>
    </w:tbl>
    <w:p>
      <w:r>
        <w:t>Weak delivery rules block conflicting trusted NIKs. Candidate links are then grouped into connected components: a report can be connected to others through shared reports. A further guard stops a whole component from collapsing if it contains different trusted NIKs, even when a missing-NIK record connected them indirectly.</w:t>
      </w:r>
    </w:p>
    <w:p>
      <w:pPr>
        <w:pStyle w:val="Heading2"/>
      </w:pPr>
      <w:r>
        <w:t>Choosing the final fields</w:t>
      </w:r>
    </w:p>
    <w:p>
      <w:r>
        <w:t>The event is not simply the newest source row. Fields are selected separately. For example, trusted NIK is preferred when choosing the identifier; name and DOB use record quality, source priority and stable source identifiers; geography uses its field-selection priority. Source membership and disagreements remain available alongside the selected values.</w:t>
      </w:r>
    </w:p>
    <w:p>
      <w:pPr>
        <w:pStyle w:val="Heading2"/>
      </w:pPr>
      <w:r>
        <w:t>Example: same event versus conflicting identity</w:t>
      </w:r>
    </w:p>
    <w:p>
      <w:r>
        <w:t>A hospital report and a SIGIZI report with the same trusted NIK and compatible delivery dates can describe the same event. If a third report with missing NIK also resembles another mother, the component guard prevents that indirect bridge from automatically joining conflicting trusted identities.</w:t>
      </w:r>
    </w:p>
    <w:p>
      <w:pPr>
        <w:pStyle w:val="CaptionText"/>
      </w:pPr>
      <w:r>
        <w:t>Source: deduplication, connected-component guard and unlinked master selection in 50_delivery_canonicalization.sql. These rules are stricter about trusted-NIK conflict than some final pregnancy rescue rules.</w:t>
      </w:r>
    </w:p>
    <w:p>
      <w:pPr>
        <w:pStyle w:val="Heading2"/>
        <w:pageBreakBefore/>
      </w:pPr>
      <w:r>
        <w:t>Matching a delivery event to an ANC pregnancy</w:t>
      </w:r>
    </w:p>
    <w:p>
      <w:r>
        <w:t>Now the question changes: which pregnancy in t_pregnancy_episode_spine_v3_3 belongs to this deduplicated delivery? The ordinary candidate methods are listed in their implemented priority order.</w:t>
      </w:r>
    </w:p>
    <w:tbl>
      <w:tblPr>
        <w:tblStyle w:val="TableGrid"/>
        <w:tblW w:type="dxa" w:w="9360"/>
        <w:jc w:val="left"/>
        <w:tblLayout w:type="fixed"/>
        <w:tblLook w:firstColumn="1" w:firstRow="1" w:lastColumn="0" w:lastRow="0" w:noHBand="0" w:noVBand="1" w:val="04A0"/>
        <w:tblInd w:type="dxa" w:w="120"/>
      </w:tblPr>
      <w:tblGrid>
        <w:gridCol w:w="4500"/>
        <w:gridCol w:w="4860"/>
      </w:tblGrid>
      <w:tr>
        <w:trPr>
          <w:cantSplit/>
          <w:tblHeader/>
        </w:trPr>
        <w:tc>
          <w:tcPr>
            <w:tcW w:type="dxa" w:w="4500"/>
            <w:shd w:fill="F2F4F7"/>
            <w:tcMar>
              <w:top w:w="80" w:type="dxa"/>
              <w:bottom w:w="80" w:type="dxa"/>
              <w:start w:w="120" w:type="dxa"/>
              <w:end w:w="120" w:type="dxa"/>
            </w:tcMar>
          </w:tcPr>
          <w:p>
            <w:pPr>
              <w:pStyle w:val="TableText"/>
            </w:pPr>
            <w:r>
              <w:rPr>
                <w:b/>
              </w:rPr>
              <w:t>Candidate method</w:t>
            </w:r>
          </w:p>
        </w:tc>
        <w:tc>
          <w:tcPr>
            <w:tcW w:type="dxa" w:w="4860"/>
            <w:shd w:fill="F2F4F7"/>
            <w:tcMar>
              <w:top w:w="80" w:type="dxa"/>
              <w:bottom w:w="80" w:type="dxa"/>
              <w:start w:w="120" w:type="dxa"/>
              <w:end w:w="120" w:type="dxa"/>
            </w:tcMar>
          </w:tcPr>
          <w:p>
            <w:pPr>
              <w:pStyle w:val="TableText"/>
            </w:pPr>
            <w:r>
              <w:rPr>
                <w:b/>
              </w:rPr>
              <w:t>Condition</w:t>
            </w:r>
          </w:p>
        </w:tc>
      </w:tr>
      <w:tr>
        <w:trPr>
          <w:cantSplit/>
        </w:trPr>
        <w:tc>
          <w:tcPr>
            <w:tcW w:type="dxa" w:w="4500"/>
            <w:tcMar>
              <w:top w:w="80" w:type="dxa"/>
              <w:bottom w:w="80" w:type="dxa"/>
              <w:start w:w="120" w:type="dxa"/>
              <w:end w:w="120" w:type="dxa"/>
            </w:tcMar>
          </w:tcPr>
          <w:p>
            <w:pPr>
              <w:pStyle w:val="TableText"/>
            </w:pPr>
            <w:r>
              <w:t>DIRECT_EPUS_EPISODE_SOURCE_KEY</w:t>
            </w:r>
          </w:p>
        </w:tc>
        <w:tc>
          <w:tcPr>
            <w:tcW w:type="dxa" w:w="4860"/>
            <w:tcMar>
              <w:top w:w="80" w:type="dxa"/>
              <w:bottom w:w="80" w:type="dxa"/>
              <w:start w:w="120" w:type="dxa"/>
              <w:end w:w="120" w:type="dxa"/>
            </w:tcMar>
          </w:tcPr>
          <w:p>
            <w:pPr>
              <w:pStyle w:val="TableText"/>
            </w:pPr>
            <w:r>
              <w:t>Delivery and pregnancy share the original EPUS episode key. An implausible direct candidate is retained for audit but is not automatically linked.</w:t>
            </w:r>
          </w:p>
        </w:tc>
      </w:tr>
      <w:tr>
        <w:trPr>
          <w:cantSplit/>
        </w:trPr>
        <w:tc>
          <w:tcPr>
            <w:tcW w:type="dxa" w:w="4500"/>
            <w:tcMar>
              <w:top w:w="80" w:type="dxa"/>
              <w:bottom w:w="80" w:type="dxa"/>
              <w:start w:w="120" w:type="dxa"/>
              <w:end w:w="120" w:type="dxa"/>
            </w:tcMar>
          </w:tcPr>
          <w:p>
            <w:pPr>
              <w:pStyle w:val="TableText"/>
            </w:pPr>
            <w:r>
              <w:t>NIK+PREGNANCY_WINDOW</w:t>
            </w:r>
          </w:p>
        </w:tc>
        <w:tc>
          <w:tcPr>
            <w:tcW w:type="dxa" w:w="4860"/>
            <w:tcMar>
              <w:top w:w="80" w:type="dxa"/>
              <w:bottom w:w="80" w:type="dxa"/>
              <w:start w:w="120" w:type="dxa"/>
              <w:end w:w="120" w:type="dxa"/>
            </w:tcMar>
          </w:tcPr>
          <w:p>
            <w:pPr>
              <w:pStyle w:val="TableText"/>
            </w:pPr>
            <w:r>
              <w:t>Exact non-null cleaned NIK and delivery within the permitted interval after the pregnancy anchor.</w:t>
            </w:r>
          </w:p>
        </w:tc>
      </w:tr>
      <w:tr>
        <w:trPr>
          <w:cantSplit/>
        </w:trPr>
        <w:tc>
          <w:tcPr>
            <w:tcW w:type="dxa" w:w="4500"/>
            <w:tcMar>
              <w:top w:w="80" w:type="dxa"/>
              <w:bottom w:w="80" w:type="dxa"/>
              <w:start w:w="120" w:type="dxa"/>
              <w:end w:w="120" w:type="dxa"/>
            </w:tcMar>
          </w:tcPr>
          <w:p>
            <w:pPr>
              <w:pStyle w:val="TableText"/>
            </w:pPr>
            <w:r>
              <w:t>NAMA+DOB+PREGNANCY_WINDOW</w:t>
            </w:r>
          </w:p>
        </w:tc>
        <w:tc>
          <w:tcPr>
            <w:tcW w:type="dxa" w:w="4860"/>
            <w:tcMar>
              <w:top w:w="80" w:type="dxa"/>
              <w:bottom w:w="80" w:type="dxa"/>
              <w:start w:w="120" w:type="dxa"/>
              <w:end w:w="120" w:type="dxa"/>
            </w:tcMar>
          </w:tcPr>
          <w:p>
            <w:pPr>
              <w:pStyle w:val="TableText"/>
            </w:pPr>
            <w:r>
              <w:t>Exact normalized name and maternal DOB, no conflicting trusted NIK, and the pregnancy interval passes.</w:t>
            </w:r>
          </w:p>
        </w:tc>
      </w:tr>
      <w:tr>
        <w:trPr>
          <w:cantSplit/>
        </w:trPr>
        <w:tc>
          <w:tcPr>
            <w:tcW w:type="dxa" w:w="4500"/>
            <w:tcMar>
              <w:top w:w="80" w:type="dxa"/>
              <w:bottom w:w="80" w:type="dxa"/>
              <w:start w:w="120" w:type="dxa"/>
              <w:end w:w="120" w:type="dxa"/>
            </w:tcMar>
          </w:tcPr>
          <w:p>
            <w:pPr>
              <w:pStyle w:val="TableText"/>
            </w:pPr>
            <w:r>
              <w:t>COMPACT_NAME+DOB+PREGNANCY_WINDOW</w:t>
            </w:r>
          </w:p>
        </w:tc>
        <w:tc>
          <w:tcPr>
            <w:tcW w:type="dxa" w:w="4860"/>
            <w:tcMar>
              <w:top w:w="80" w:type="dxa"/>
              <w:bottom w:w="80" w:type="dxa"/>
              <w:start w:w="120" w:type="dxa"/>
              <w:end w:w="120" w:type="dxa"/>
            </w:tcMar>
          </w:tcPr>
          <w:p>
            <w:pPr>
              <w:pStyle w:val="TableText"/>
            </w:pPr>
            <w:r>
              <w:t>Exact compact name and maternal DOB, no conflicting trusted NIK, and the interval passes.</w:t>
            </w:r>
          </w:p>
        </w:tc>
      </w:tr>
      <w:tr>
        <w:trPr>
          <w:cantSplit/>
        </w:trPr>
        <w:tc>
          <w:tcPr>
            <w:tcW w:type="dxa" w:w="4500"/>
            <w:tcMar>
              <w:top w:w="80" w:type="dxa"/>
              <w:bottom w:w="80" w:type="dxa"/>
              <w:start w:w="120" w:type="dxa"/>
              <w:end w:w="120" w:type="dxa"/>
            </w:tcMar>
          </w:tcPr>
          <w:p>
            <w:pPr>
              <w:pStyle w:val="TableText"/>
            </w:pPr>
            <w:r>
              <w:t>PHONE+DOB+PREGNANCY_WINDOW</w:t>
            </w:r>
          </w:p>
        </w:tc>
        <w:tc>
          <w:tcPr>
            <w:tcW w:type="dxa" w:w="4860"/>
            <w:tcMar>
              <w:top w:w="80" w:type="dxa"/>
              <w:bottom w:w="80" w:type="dxa"/>
              <w:start w:w="120" w:type="dxa"/>
              <w:end w:w="120" w:type="dxa"/>
            </w:tcMar>
          </w:tcPr>
          <w:p>
            <w:pPr>
              <w:pStyle w:val="TableText"/>
            </w:pPr>
            <w:r>
              <w:t>Exact comparison phone and maternal DOB, no conflicting trusted NIK, and the interval passes.</w:t>
            </w:r>
          </w:p>
        </w:tc>
      </w:tr>
    </w:tbl>
    <w:p>
      <w:r>
        <w:t>For the non-direct candidates, the implemented interval is from one hundred and twenty-six to three hundred and twenty-two days after the pregnancy anchor. The script ranks plausible candidates ahead of implausible direct-key candidates, then uses method priority and distance from expected delivery. If distinct pregnancies tie for the best score, the event remains ambiguous; an identifier tie-break does not turn that ambiguity into an accepted link.</w:t>
      </w:r>
    </w:p>
    <w:p>
      <w:pPr>
        <w:pStyle w:val="Heading2"/>
      </w:pPr>
      <w:r>
        <w:t>SIGIZI direct-source rescue</w:t>
      </w:r>
    </w:p>
    <w:p>
      <w:r>
        <w:t>This is tried only when the delivery has no existing ordinary candidate. It follows the delivery member map to the original SIGIZI record and follows pregnancy source membership to that same record. Shared source identity alone is insufficient: a contributing record must support a plausible source HPL or HPHT relationship.</w:t>
      </w:r>
    </w:p>
    <w:p>
      <w:r>
        <w:t>With source HPL, delivery must be within six weeks of that HPL. Without HPL, source HPHT must meet the anchor-to-delivery interval above. A delivery before its source HPHT is not plausible evidence. Only a unique plausible pregnancy qualifies; borderline timing remains QA evidence.</w:t>
      </w:r>
    </w:p>
    <w:p>
      <w:pPr>
        <w:pStyle w:val="Heading2"/>
      </w:pPr>
      <w:r>
        <w:t>Competing delivery clusters</w:t>
      </w:r>
    </w:p>
    <w:p>
      <w:r>
        <w:t>After provisional linkage, reports linked to the same pregnancy are consolidated into date-based clusters. Competing clusters are ranked by independent source-system support, source records, linkage priority and date proximity. Only the winning cluster retains the pregnancy link; rejected clusters remain identifiable as collision rejections.</w:t>
      </w:r>
    </w:p>
    <w:p>
      <w:pPr>
        <w:pStyle w:val="CaptionText"/>
      </w:pPr>
      <w:r>
        <w:t>Source: strict ANC candidates, direct SIGIZI rescue, candidate ranking and post-ANC consolidation in 50_delivery_canonicalization.sql. Fuzzy names are used in delivery deduplication, but are not a separate ordinary delivery-to-ANC candidate method here.</w:t>
      </w:r>
    </w:p>
    <w:p>
      <w:pPr>
        <w:pStyle w:val="Heading2"/>
        <w:pageBreakBefore/>
      </w:pPr>
      <w:r>
        <w:t>USG matching, outcome matching and monitoring status</w:t>
      </w:r>
    </w:p>
    <w:p>
      <w:pPr>
        <w:pStyle w:val="Heading2"/>
      </w:pPr>
      <w:r>
        <w:t>Attaching ultrasound evidence</w:t>
      </w:r>
    </w:p>
    <w:p>
      <w:r>
        <w:t>vs_epus_anc supplies ultrasound records. They are compared with the pregnancy spine by exact NIK and a visit window around the pregnancy anchor. The fallback requires exact normalized name and maternal DOB, and is allowed only when NIK is missing on at least one side. It is not an override for two different non-null NIKs.</w:t>
      </w:r>
    </w:p>
    <w:p>
      <w:r>
        <w:t>The visit window starts thirty days before the anchor and ends three hundred days afterward. Selection orders match method before dating quality, then ultrasound date and record ID. The result is t_pregnancy_usg_dating_v3_3. Consequently, this implementation does not simply choose the earliest scan across all possible identity methods.</w:t>
      </w:r>
    </w:p>
    <w:p>
      <w:pPr>
        <w:pStyle w:val="Heading2"/>
      </w:pPr>
      <w:r>
        <w:t>Attaching outcome evidence</w:t>
      </w:r>
    </w:p>
    <w:p>
      <w:r>
        <w:t>Outcome tracking matches t_pregnancy_outcome_events_v3_3 to the spine using direct EPUS episode key; otherwise exact NIK with an event-date window; otherwise exact name and DOB with that window when a NIK is missing. An undated outcome can use a matching NIK only if that NIK has a unique pregnancy episode and the outcome is present.</w:t>
      </w:r>
    </w:p>
    <w:p>
      <w:r>
        <w:t>The dated-outcome window starts thirty days before the anchor and ends three hundred and fifty days afterward. The best pregnancy for each source event is selected by method priority, expected-delivery distance and stable pregnancy ID. This broader evidence matching is different from the stricter final delivery-to-ANC acceptance step.</w:t>
      </w:r>
    </w:p>
    <w:p>
      <w:pPr>
        <w:pStyle w:val="Heading2"/>
      </w:pPr>
      <w:r>
        <w:t>Selecting HPL and the displayed status</w:t>
      </w:r>
    </w:p>
    <w:p>
      <w:r>
        <w:t>In t_pregnancy_outcome_tracking_v3_3, expected delivery date prioritizes eligible early USG gestational-age dating, then recorded HPL, then HPHT-derived HPL, then a later USG fallback. The selected source is retained. The integrated reporting view also derives its own best-dating fields for gestational-age analysis; these should not be treated as interchangeable with operational HPL.</w:t>
      </w:r>
    </w:p>
    <w:p>
      <w:r>
        <w:t>v_pregnancy_monitoring_integrated joins tracking with validated deliveries. Its status prioritizes an accepted delivery, then abortus and known delivery without a date, then the missing-date/overdue/active rules. “Missing birth” means that required birth evidence has not been found for an overdue episode. “Active pregnancy” is a status derived from the available dates and evidence.</w:t>
      </w:r>
    </w:p>
    <w:p>
      <w:r>
        <w:t>v_pregnancy_monitoring_by_source_scope expands that integrated view into source scopes. Use the intended scope, eligibility field and date dimension in Looker so an episode repeated across scopes is not counted as a different pregnancy.</w:t>
      </w:r>
    </w:p>
    <w:p>
      <w:pPr>
        <w:pStyle w:val="CaptionText"/>
      </w:pPr>
      <w:r>
        <w:t>Source: 30_usg_and_outcome_evidence.sql, 40_outcome_tracking.sql and the integrated reporting definitions in 70_reporting_views.sql.</w:t>
      </w:r>
    </w:p>
    <w:p>
      <w:pPr>
        <w:pStyle w:val="Heading1"/>
        <w:pageBreakBefore/>
      </w:pPr>
      <w:r>
        <w:t>Appendix</w:t>
      </w:r>
    </w:p>
    <w:p>
      <w:pPr>
        <w:pStyle w:val="Heading2"/>
      </w:pPr>
      <w:r>
        <w:t>Which script builds which table?</w:t>
      </w:r>
    </w:p>
    <w:p>
      <w:pPr>
        <w:pStyle w:val="CaptionText"/>
      </w:pPr>
      <w:r>
        <w:t>Run source preparation, geography correction and core builders in dependency order. Names in this table identify files and objects, not independent clock schedules.</w:t>
      </w:r>
    </w:p>
    <w:tbl>
      <w:tblPr>
        <w:tblStyle w:val="TableGrid"/>
        <w:tblW w:type="dxa" w:w="9360"/>
        <w:jc w:val="left"/>
        <w:tblLayout w:type="fixed"/>
        <w:tblLook w:firstColumn="1" w:firstRow="1" w:lastColumn="0" w:lastRow="0" w:noHBand="0" w:noVBand="1" w:val="04A0"/>
        <w:tblInd w:type="dxa" w:w="120"/>
      </w:tblPr>
      <w:tblGrid>
        <w:gridCol w:w="2900"/>
        <w:gridCol w:w="3100"/>
        <w:gridCol w:w="3360"/>
      </w:tblGrid>
      <w:tr>
        <w:trPr>
          <w:cantSplit/>
          <w:tblHeader/>
        </w:trPr>
        <w:tc>
          <w:tcPr>
            <w:tcW w:type="dxa" w:w="2900"/>
            <w:shd w:fill="F2F4F7"/>
            <w:tcMar>
              <w:top w:w="80" w:type="dxa"/>
              <w:bottom w:w="80" w:type="dxa"/>
              <w:start w:w="120" w:type="dxa"/>
              <w:end w:w="120" w:type="dxa"/>
            </w:tcMar>
          </w:tcPr>
          <w:p>
            <w:pPr>
              <w:pStyle w:val="TableText"/>
            </w:pPr>
            <w:r>
              <w:rPr>
                <w:b/>
              </w:rPr>
              <w:t>Builder</w:t>
            </w:r>
          </w:p>
        </w:tc>
        <w:tc>
          <w:tcPr>
            <w:tcW w:type="dxa" w:w="3100"/>
            <w:shd w:fill="F2F4F7"/>
            <w:tcMar>
              <w:top w:w="80" w:type="dxa"/>
              <w:bottom w:w="80" w:type="dxa"/>
              <w:start w:w="120" w:type="dxa"/>
              <w:end w:w="120" w:type="dxa"/>
            </w:tcMar>
          </w:tcPr>
          <w:p>
            <w:pPr>
              <w:pStyle w:val="TableText"/>
            </w:pPr>
            <w:r>
              <w:rPr>
                <w:b/>
              </w:rPr>
              <w:t>Reads</w:t>
            </w:r>
          </w:p>
        </w:tc>
        <w:tc>
          <w:tcPr>
            <w:tcW w:type="dxa" w:w="3360"/>
            <w:shd w:fill="F2F4F7"/>
            <w:tcMar>
              <w:top w:w="80" w:type="dxa"/>
              <w:bottom w:w="80" w:type="dxa"/>
              <w:start w:w="120" w:type="dxa"/>
              <w:end w:w="120" w:type="dxa"/>
            </w:tcMar>
          </w:tcPr>
          <w:p>
            <w:pPr>
              <w:pStyle w:val="TableText"/>
            </w:pPr>
            <w:r>
              <w:rPr>
                <w:b/>
              </w:rPr>
              <w:t>Writes</w:t>
            </w:r>
          </w:p>
        </w:tc>
      </w:tr>
      <w:tr>
        <w:trPr>
          <w:cantSplit/>
        </w:trPr>
        <w:tc>
          <w:tcPr>
            <w:tcW w:type="dxa" w:w="2900"/>
            <w:tcMar>
              <w:top w:w="80" w:type="dxa"/>
              <w:bottom w:w="80" w:type="dxa"/>
              <w:start w:w="120" w:type="dxa"/>
              <w:end w:w="120" w:type="dxa"/>
            </w:tcMar>
          </w:tcPr>
          <w:p>
            <w:pPr>
              <w:pStyle w:val="TableText"/>
            </w:pPr>
            <w:r>
              <w:t>03_sigizi_source.sql</w:t>
            </w:r>
          </w:p>
        </w:tc>
        <w:tc>
          <w:tcPr>
            <w:tcW w:type="dxa" w:w="3100"/>
            <w:tcMar>
              <w:top w:w="80" w:type="dxa"/>
              <w:bottom w:w="80" w:type="dxa"/>
              <w:start w:w="120" w:type="dxa"/>
              <w:end w:w="120" w:type="dxa"/>
            </w:tcMar>
          </w:tcPr>
          <w:p>
            <w:pPr>
              <w:pStyle w:val="TableText"/>
            </w:pPr>
            <w:r>
              <w:t>SIGIZI clinical cleaning views + vs_sigizi_bumil_hapus</w:t>
            </w:r>
          </w:p>
        </w:tc>
        <w:tc>
          <w:tcPr>
            <w:tcW w:type="dxa" w:w="3360"/>
            <w:tcMar>
              <w:top w:w="80" w:type="dxa"/>
              <w:bottom w:w="80" w:type="dxa"/>
              <w:start w:w="120" w:type="dxa"/>
              <w:end w:w="120" w:type="dxa"/>
            </w:tcMar>
          </w:tcPr>
          <w:p>
            <w:pPr>
              <w:pStyle w:val="TableText"/>
            </w:pPr>
            <w:r>
              <w:t>t_sigizi_source_records; deletion exclusion audit and summary</w:t>
            </w:r>
          </w:p>
        </w:tc>
      </w:tr>
      <w:tr>
        <w:trPr>
          <w:cantSplit/>
        </w:trPr>
        <w:tc>
          <w:tcPr>
            <w:tcW w:type="dxa" w:w="2900"/>
            <w:tcMar>
              <w:top w:w="80" w:type="dxa"/>
              <w:bottom w:w="80" w:type="dxa"/>
              <w:start w:w="120" w:type="dxa"/>
              <w:end w:w="120" w:type="dxa"/>
            </w:tcMar>
          </w:tcPr>
          <w:p>
            <w:pPr>
              <w:pStyle w:val="TableText"/>
            </w:pPr>
            <w:r>
              <w:t>03a_sigizi_geography.sql</w:t>
            </w:r>
          </w:p>
        </w:tc>
        <w:tc>
          <w:tcPr>
            <w:tcW w:type="dxa" w:w="3100"/>
            <w:tcMar>
              <w:top w:w="80" w:type="dxa"/>
              <w:bottom w:w="80" w:type="dxa"/>
              <w:start w:w="120" w:type="dxa"/>
              <w:end w:w="120" w:type="dxa"/>
            </w:tcMar>
          </w:tcPr>
          <w:p>
            <w:pPr>
              <w:pStyle w:val="TableText"/>
            </w:pPr>
            <w:r>
              <w:t>t_sigizi_source_records + t_sigizi_location_reference</w:t>
            </w:r>
          </w:p>
        </w:tc>
        <w:tc>
          <w:tcPr>
            <w:tcW w:type="dxa" w:w="3360"/>
            <w:tcMar>
              <w:top w:w="80" w:type="dxa"/>
              <w:bottom w:w="80" w:type="dxa"/>
              <w:start w:w="120" w:type="dxa"/>
              <w:end w:w="120" w:type="dxa"/>
            </w:tcMar>
          </w:tcPr>
          <w:p>
            <w:pPr>
              <w:pStyle w:val="TableText"/>
            </w:pPr>
            <w:r>
              <w:t>Corrected t_sigizi_source_records; t_sigizi_location_resolved_v1</w:t>
            </w:r>
          </w:p>
        </w:tc>
      </w:tr>
      <w:tr>
        <w:trPr>
          <w:cantSplit/>
        </w:trPr>
        <w:tc>
          <w:tcPr>
            <w:tcW w:type="dxa" w:w="2900"/>
            <w:tcMar>
              <w:top w:w="80" w:type="dxa"/>
              <w:bottom w:w="80" w:type="dxa"/>
              <w:start w:w="120" w:type="dxa"/>
              <w:end w:w="120" w:type="dxa"/>
            </w:tcMar>
          </w:tcPr>
          <w:p>
            <w:pPr>
              <w:pStyle w:val="TableText"/>
            </w:pPr>
            <w:r>
              <w:t>04_epus_source.sql</w:t>
            </w:r>
          </w:p>
        </w:tc>
        <w:tc>
          <w:tcPr>
            <w:tcW w:type="dxa" w:w="3100"/>
            <w:tcMar>
              <w:top w:w="80" w:type="dxa"/>
              <w:bottom w:w="80" w:type="dxa"/>
              <w:start w:w="120" w:type="dxa"/>
              <w:end w:w="120" w:type="dxa"/>
            </w:tcMar>
          </w:tcPr>
          <w:p>
            <w:pPr>
              <w:pStyle w:val="TableText"/>
            </w:pPr>
            <w:r>
              <w:t>EPUS cleaning views</w:t>
            </w:r>
          </w:p>
        </w:tc>
        <w:tc>
          <w:tcPr>
            <w:tcW w:type="dxa" w:w="3360"/>
            <w:tcMar>
              <w:top w:w="80" w:type="dxa"/>
              <w:bottom w:w="80" w:type="dxa"/>
              <w:start w:w="120" w:type="dxa"/>
              <w:end w:w="120" w:type="dxa"/>
            </w:tcMar>
          </w:tcPr>
          <w:p>
            <w:pPr>
              <w:pStyle w:val="TableText"/>
            </w:pPr>
            <w:r>
              <w:t>t_epus_source_records</w:t>
            </w:r>
          </w:p>
        </w:tc>
      </w:tr>
      <w:tr>
        <w:trPr>
          <w:cantSplit/>
        </w:trPr>
        <w:tc>
          <w:tcPr>
            <w:tcW w:type="dxa" w:w="2900"/>
            <w:tcMar>
              <w:top w:w="80" w:type="dxa"/>
              <w:bottom w:w="80" w:type="dxa"/>
              <w:start w:w="120" w:type="dxa"/>
              <w:end w:w="120" w:type="dxa"/>
            </w:tcMar>
          </w:tcPr>
          <w:p>
            <w:pPr>
              <w:pStyle w:val="TableText"/>
            </w:pPr>
            <w:r>
              <w:t>05_epus_mother.sql</w:t>
            </w:r>
          </w:p>
        </w:tc>
        <w:tc>
          <w:tcPr>
            <w:tcW w:type="dxa" w:w="3100"/>
            <w:tcMar>
              <w:top w:w="80" w:type="dxa"/>
              <w:bottom w:w="80" w:type="dxa"/>
              <w:start w:w="120" w:type="dxa"/>
              <w:end w:w="120" w:type="dxa"/>
            </w:tcMar>
          </w:tcPr>
          <w:p>
            <w:pPr>
              <w:pStyle w:val="TableText"/>
            </w:pPr>
            <w:r>
              <w:t>t_epus_source_records</w:t>
            </w:r>
          </w:p>
        </w:tc>
        <w:tc>
          <w:tcPr>
            <w:tcW w:type="dxa" w:w="3360"/>
            <w:tcMar>
              <w:top w:w="80" w:type="dxa"/>
              <w:bottom w:w="80" w:type="dxa"/>
              <w:start w:w="120" w:type="dxa"/>
              <w:end w:w="120" w:type="dxa"/>
            </w:tcMar>
          </w:tcPr>
          <w:p>
            <w:pPr>
              <w:pStyle w:val="TableText"/>
            </w:pPr>
            <w:r>
              <w:t>t_epus_mother_records</w:t>
            </w:r>
          </w:p>
        </w:tc>
      </w:tr>
      <w:tr>
        <w:trPr>
          <w:cantSplit/>
        </w:trPr>
        <w:tc>
          <w:tcPr>
            <w:tcW w:type="dxa" w:w="2900"/>
            <w:tcMar>
              <w:top w:w="80" w:type="dxa"/>
              <w:bottom w:w="80" w:type="dxa"/>
              <w:start w:w="120" w:type="dxa"/>
              <w:end w:w="120" w:type="dxa"/>
            </w:tcMar>
          </w:tcPr>
          <w:p>
            <w:pPr>
              <w:pStyle w:val="TableText"/>
            </w:pPr>
            <w:r>
              <w:t>06_epus_pregnancy_records.sql</w:t>
            </w:r>
          </w:p>
        </w:tc>
        <w:tc>
          <w:tcPr>
            <w:tcW w:type="dxa" w:w="3100"/>
            <w:tcMar>
              <w:top w:w="80" w:type="dxa"/>
              <w:bottom w:w="80" w:type="dxa"/>
              <w:start w:w="120" w:type="dxa"/>
              <w:end w:w="120" w:type="dxa"/>
            </w:tcMar>
          </w:tcPr>
          <w:p>
            <w:pPr>
              <w:pStyle w:val="TableText"/>
            </w:pPr>
            <w:r>
              <w:t>t_epus_mother_records</w:t>
            </w:r>
          </w:p>
        </w:tc>
        <w:tc>
          <w:tcPr>
            <w:tcW w:type="dxa" w:w="3360"/>
            <w:tcMar>
              <w:top w:w="80" w:type="dxa"/>
              <w:bottom w:w="80" w:type="dxa"/>
              <w:start w:w="120" w:type="dxa"/>
              <w:end w:w="120" w:type="dxa"/>
            </w:tcMar>
          </w:tcPr>
          <w:p>
            <w:pPr>
              <w:pStyle w:val="TableText"/>
            </w:pPr>
            <w:r>
              <w:t>t_epus_pregnancy_records</w:t>
            </w:r>
          </w:p>
        </w:tc>
      </w:tr>
      <w:tr>
        <w:trPr>
          <w:cantSplit/>
        </w:trPr>
        <w:tc>
          <w:tcPr>
            <w:tcW w:type="dxa" w:w="2900"/>
            <w:tcMar>
              <w:top w:w="80" w:type="dxa"/>
              <w:bottom w:w="80" w:type="dxa"/>
              <w:start w:w="120" w:type="dxa"/>
              <w:end w:w="120" w:type="dxa"/>
            </w:tcMar>
          </w:tcPr>
          <w:p>
            <w:pPr>
              <w:pStyle w:val="TableText"/>
            </w:pPr>
            <w:r>
              <w:t>07_epus_anc_events.sql</w:t>
            </w:r>
          </w:p>
        </w:tc>
        <w:tc>
          <w:tcPr>
            <w:tcW w:type="dxa" w:w="3100"/>
            <w:tcMar>
              <w:top w:w="80" w:type="dxa"/>
              <w:bottom w:w="80" w:type="dxa"/>
              <w:start w:w="120" w:type="dxa"/>
              <w:end w:w="120" w:type="dxa"/>
            </w:tcMar>
          </w:tcPr>
          <w:p>
            <w:pPr>
              <w:pStyle w:val="TableText"/>
            </w:pPr>
            <w:r>
              <w:t>t_epus_pregnancy_records</w:t>
            </w:r>
          </w:p>
        </w:tc>
        <w:tc>
          <w:tcPr>
            <w:tcW w:type="dxa" w:w="3360"/>
            <w:tcMar>
              <w:top w:w="80" w:type="dxa"/>
              <w:bottom w:w="80" w:type="dxa"/>
              <w:start w:w="120" w:type="dxa"/>
              <w:end w:w="120" w:type="dxa"/>
            </w:tcMar>
          </w:tcPr>
          <w:p>
            <w:pPr>
              <w:pStyle w:val="TableText"/>
            </w:pPr>
            <w:r>
              <w:t>t_epus_anc_canonical_events</w:t>
            </w:r>
          </w:p>
        </w:tc>
      </w:tr>
      <w:tr>
        <w:trPr>
          <w:cantSplit/>
        </w:trPr>
        <w:tc>
          <w:tcPr>
            <w:tcW w:type="dxa" w:w="2900"/>
            <w:tcMar>
              <w:top w:w="80" w:type="dxa"/>
              <w:bottom w:w="80" w:type="dxa"/>
              <w:start w:w="120" w:type="dxa"/>
              <w:end w:w="120" w:type="dxa"/>
            </w:tcMar>
          </w:tcPr>
          <w:p>
            <w:pPr>
              <w:pStyle w:val="TableText"/>
            </w:pPr>
            <w:r>
              <w:t>08_epus_master.sql</w:t>
            </w:r>
          </w:p>
        </w:tc>
        <w:tc>
          <w:tcPr>
            <w:tcW w:type="dxa" w:w="3100"/>
            <w:tcMar>
              <w:top w:w="80" w:type="dxa"/>
              <w:bottom w:w="80" w:type="dxa"/>
              <w:start w:w="120" w:type="dxa"/>
              <w:end w:w="120" w:type="dxa"/>
            </w:tcMar>
          </w:tcPr>
          <w:p>
            <w:pPr>
              <w:pStyle w:val="TableText"/>
            </w:pPr>
            <w:r>
              <w:t>Pregnancy records + ANC events + vs_epus_inc</w:t>
            </w:r>
          </w:p>
        </w:tc>
        <w:tc>
          <w:tcPr>
            <w:tcW w:type="dxa" w:w="3360"/>
            <w:tcMar>
              <w:top w:w="80" w:type="dxa"/>
              <w:bottom w:w="80" w:type="dxa"/>
              <w:start w:w="120" w:type="dxa"/>
              <w:end w:w="120" w:type="dxa"/>
            </w:tcMar>
          </w:tcPr>
          <w:p>
            <w:pPr>
              <w:pStyle w:val="TableText"/>
            </w:pPr>
            <w:r>
              <w:t>t_epus_pregnancy_master</w:t>
            </w:r>
          </w:p>
        </w:tc>
      </w:tr>
      <w:tr>
        <w:trPr>
          <w:cantSplit/>
        </w:trPr>
        <w:tc>
          <w:tcPr>
            <w:tcW w:type="dxa" w:w="2900"/>
            <w:tcMar>
              <w:top w:w="80" w:type="dxa"/>
              <w:bottom w:w="80" w:type="dxa"/>
              <w:start w:w="120" w:type="dxa"/>
              <w:end w:w="120" w:type="dxa"/>
            </w:tcMar>
          </w:tcPr>
          <w:p>
            <w:pPr>
              <w:pStyle w:val="TableText"/>
            </w:pPr>
            <w:r>
              <w:t>10_sigizi_episodes.sql</w:t>
            </w:r>
          </w:p>
        </w:tc>
        <w:tc>
          <w:tcPr>
            <w:tcW w:type="dxa" w:w="3100"/>
            <w:tcMar>
              <w:top w:w="80" w:type="dxa"/>
              <w:bottom w:w="80" w:type="dxa"/>
              <w:start w:w="120" w:type="dxa"/>
              <w:end w:w="120" w:type="dxa"/>
            </w:tcMar>
          </w:tcPr>
          <w:p>
            <w:pPr>
              <w:pStyle w:val="TableText"/>
            </w:pPr>
            <w:r>
              <w:t>Corrected t_sigizi_source_records</w:t>
            </w:r>
          </w:p>
        </w:tc>
        <w:tc>
          <w:tcPr>
            <w:tcW w:type="dxa" w:w="3360"/>
            <w:tcMar>
              <w:top w:w="80" w:type="dxa"/>
              <w:bottom w:w="80" w:type="dxa"/>
              <w:start w:w="120" w:type="dxa"/>
              <w:end w:w="120" w:type="dxa"/>
            </w:tcMar>
          </w:tcPr>
          <w:p>
            <w:pPr>
              <w:pStyle w:val="TableText"/>
            </w:pPr>
            <w:r>
              <w:t>t_sigizi_pregnancy_episode_v3_3</w:t>
            </w:r>
          </w:p>
        </w:tc>
      </w:tr>
      <w:tr>
        <w:trPr>
          <w:cantSplit/>
        </w:trPr>
        <w:tc>
          <w:tcPr>
            <w:tcW w:type="dxa" w:w="2900"/>
            <w:tcMar>
              <w:top w:w="80" w:type="dxa"/>
              <w:bottom w:w="80" w:type="dxa"/>
              <w:start w:w="120" w:type="dxa"/>
              <w:end w:w="120" w:type="dxa"/>
            </w:tcMar>
          </w:tcPr>
          <w:p>
            <w:pPr>
              <w:pStyle w:val="TableText"/>
            </w:pPr>
            <w:r>
              <w:t>11_epus_adapter.sql</w:t>
            </w:r>
          </w:p>
        </w:tc>
        <w:tc>
          <w:tcPr>
            <w:tcW w:type="dxa" w:w="3100"/>
            <w:tcMar>
              <w:top w:w="80" w:type="dxa"/>
              <w:bottom w:w="80" w:type="dxa"/>
              <w:start w:w="120" w:type="dxa"/>
              <w:end w:w="120" w:type="dxa"/>
            </w:tcMar>
          </w:tcPr>
          <w:p>
            <w:pPr>
              <w:pStyle w:val="TableText"/>
            </w:pPr>
            <w:r>
              <w:t>t_epus_pregnancy_master</w:t>
            </w:r>
          </w:p>
        </w:tc>
        <w:tc>
          <w:tcPr>
            <w:tcW w:type="dxa" w:w="3360"/>
            <w:tcMar>
              <w:top w:w="80" w:type="dxa"/>
              <w:bottom w:w="80" w:type="dxa"/>
              <w:start w:w="120" w:type="dxa"/>
              <w:end w:w="120" w:type="dxa"/>
            </w:tcMar>
          </w:tcPr>
          <w:p>
            <w:pPr>
              <w:pStyle w:val="TableText"/>
            </w:pPr>
            <w:r>
              <w:t>t_epus_pregnancy_episode_adapter_v3_3</w:t>
            </w:r>
          </w:p>
        </w:tc>
      </w:tr>
      <w:tr>
        <w:trPr>
          <w:cantSplit/>
        </w:trPr>
        <w:tc>
          <w:tcPr>
            <w:tcW w:type="dxa" w:w="2900"/>
            <w:tcMar>
              <w:top w:w="80" w:type="dxa"/>
              <w:bottom w:w="80" w:type="dxa"/>
              <w:start w:w="120" w:type="dxa"/>
              <w:end w:w="120" w:type="dxa"/>
            </w:tcMar>
          </w:tcPr>
          <w:p>
            <w:pPr>
              <w:pStyle w:val="TableText"/>
            </w:pPr>
            <w:r>
              <w:t>20_pregnancy_canonicalization.sql</w:t>
            </w:r>
          </w:p>
        </w:tc>
        <w:tc>
          <w:tcPr>
            <w:tcW w:type="dxa" w:w="3100"/>
            <w:tcMar>
              <w:top w:w="80" w:type="dxa"/>
              <w:bottom w:w="80" w:type="dxa"/>
              <w:start w:w="120" w:type="dxa"/>
              <w:end w:w="120" w:type="dxa"/>
            </w:tcMar>
          </w:tcPr>
          <w:p>
            <w:pPr>
              <w:pStyle w:val="TableText"/>
            </w:pPr>
            <w:r>
              <w:t>SIGIZI episodes + EPUS adapter</w:t>
            </w:r>
          </w:p>
        </w:tc>
        <w:tc>
          <w:tcPr>
            <w:tcW w:type="dxa" w:w="3360"/>
            <w:tcMar>
              <w:top w:w="80" w:type="dxa"/>
              <w:bottom w:w="80" w:type="dxa"/>
              <w:start w:w="120" w:type="dxa"/>
              <w:end w:w="120" w:type="dxa"/>
            </w:tcMar>
          </w:tcPr>
          <w:p>
            <w:pPr>
              <w:pStyle w:val="TableText"/>
            </w:pPr>
            <w:r>
              <w:t>Source-canonical episode tables and maps; t_pregnancy_episode_spine_v3_3; final canonical map</w:t>
            </w:r>
          </w:p>
        </w:tc>
      </w:tr>
      <w:tr>
        <w:trPr>
          <w:cantSplit/>
        </w:trPr>
        <w:tc>
          <w:tcPr>
            <w:tcW w:type="dxa" w:w="2900"/>
            <w:tcMar>
              <w:top w:w="80" w:type="dxa"/>
              <w:bottom w:w="80" w:type="dxa"/>
              <w:start w:w="120" w:type="dxa"/>
              <w:end w:w="120" w:type="dxa"/>
            </w:tcMar>
          </w:tcPr>
          <w:p>
            <w:pPr>
              <w:pStyle w:val="TableText"/>
            </w:pPr>
            <w:r>
              <w:t>30_usg_and_outcome_evidence.sql</w:t>
            </w:r>
          </w:p>
        </w:tc>
        <w:tc>
          <w:tcPr>
            <w:tcW w:type="dxa" w:w="3100"/>
            <w:tcMar>
              <w:top w:w="80" w:type="dxa"/>
              <w:bottom w:w="80" w:type="dxa"/>
              <w:start w:w="120" w:type="dxa"/>
              <w:end w:w="120" w:type="dxa"/>
            </w:tcMar>
          </w:tcPr>
          <w:p>
            <w:pPr>
              <w:pStyle w:val="TableText"/>
            </w:pPr>
            <w:r>
              <w:t>Spine + EPUS ANC + SIGIZI/EPUS/SIMRS/Kobo/facility evidence</w:t>
            </w:r>
          </w:p>
        </w:tc>
        <w:tc>
          <w:tcPr>
            <w:tcW w:type="dxa" w:w="3360"/>
            <w:tcMar>
              <w:top w:w="80" w:type="dxa"/>
              <w:bottom w:w="80" w:type="dxa"/>
              <w:start w:w="120" w:type="dxa"/>
              <w:end w:w="120" w:type="dxa"/>
            </w:tcMar>
          </w:tcPr>
          <w:p>
            <w:pPr>
              <w:pStyle w:val="TableText"/>
            </w:pPr>
            <w:r>
              <w:t>t_pregnancy_usg_dating_v3_3; t_pregnancy_outcome_events_v3_3</w:t>
            </w:r>
          </w:p>
        </w:tc>
      </w:tr>
      <w:tr>
        <w:trPr>
          <w:cantSplit/>
        </w:trPr>
        <w:tc>
          <w:tcPr>
            <w:tcW w:type="dxa" w:w="2900"/>
            <w:tcMar>
              <w:top w:w="80" w:type="dxa"/>
              <w:bottom w:w="80" w:type="dxa"/>
              <w:start w:w="120" w:type="dxa"/>
              <w:end w:w="120" w:type="dxa"/>
            </w:tcMar>
          </w:tcPr>
          <w:p>
            <w:pPr>
              <w:pStyle w:val="TableText"/>
            </w:pPr>
            <w:r>
              <w:t>40_outcome_tracking.sql</w:t>
            </w:r>
          </w:p>
        </w:tc>
        <w:tc>
          <w:tcPr>
            <w:tcW w:type="dxa" w:w="3100"/>
            <w:tcMar>
              <w:top w:w="80" w:type="dxa"/>
              <w:bottom w:w="80" w:type="dxa"/>
              <w:start w:w="120" w:type="dxa"/>
              <w:end w:w="120" w:type="dxa"/>
            </w:tcMar>
          </w:tcPr>
          <w:p>
            <w:pPr>
              <w:pStyle w:val="TableText"/>
            </w:pPr>
            <w:r>
              <w:t>Spine + USG dating + outcome events</w:t>
            </w:r>
          </w:p>
        </w:tc>
        <w:tc>
          <w:tcPr>
            <w:tcW w:type="dxa" w:w="3360"/>
            <w:tcMar>
              <w:top w:w="80" w:type="dxa"/>
              <w:bottom w:w="80" w:type="dxa"/>
              <w:start w:w="120" w:type="dxa"/>
              <w:end w:w="120" w:type="dxa"/>
            </w:tcMar>
          </w:tcPr>
          <w:p>
            <w:pPr>
              <w:pStyle w:val="TableText"/>
            </w:pPr>
            <w:r>
              <w:t>t_pregnancy_outcome_tracking_v3_3</w:t>
            </w:r>
          </w:p>
        </w:tc>
      </w:tr>
      <w:tr>
        <w:trPr>
          <w:cantSplit/>
        </w:trPr>
        <w:tc>
          <w:tcPr>
            <w:tcW w:type="dxa" w:w="2900"/>
            <w:tcMar>
              <w:top w:w="80" w:type="dxa"/>
              <w:bottom w:w="80" w:type="dxa"/>
              <w:start w:w="120" w:type="dxa"/>
              <w:end w:w="120" w:type="dxa"/>
            </w:tcMar>
          </w:tcPr>
          <w:p>
            <w:pPr>
              <w:pStyle w:val="TableText"/>
            </w:pPr>
            <w:r>
              <w:t>50_delivery_canonicalization.sql</w:t>
            </w:r>
          </w:p>
        </w:tc>
        <w:tc>
          <w:tcPr>
            <w:tcW w:type="dxa" w:w="3100"/>
            <w:tcMar>
              <w:top w:w="80" w:type="dxa"/>
              <w:bottom w:w="80" w:type="dxa"/>
              <w:start w:w="120" w:type="dxa"/>
              <w:end w:w="120" w:type="dxa"/>
            </w:tcMar>
          </w:tcPr>
          <w:p>
            <w:pPr>
              <w:pStyle w:val="TableText"/>
            </w:pPr>
            <w:r>
              <w:t>Outcome events + spine + SIGIZI source lineage</w:t>
            </w:r>
          </w:p>
        </w:tc>
        <w:tc>
          <w:tcPr>
            <w:tcW w:type="dxa" w:w="3360"/>
            <w:tcMar>
              <w:top w:w="80" w:type="dxa"/>
              <w:bottom w:w="80" w:type="dxa"/>
              <w:start w:w="120" w:type="dxa"/>
              <w:end w:w="120" w:type="dxa"/>
            </w:tcMar>
          </w:tcPr>
          <w:p>
            <w:pPr>
              <w:pStyle w:val="TableText"/>
            </w:pPr>
            <w:r>
              <w:t>Delivery source/base/master/member maps and rescue table</w:t>
            </w:r>
          </w:p>
        </w:tc>
      </w:tr>
      <w:tr>
        <w:trPr>
          <w:cantSplit/>
        </w:trPr>
        <w:tc>
          <w:tcPr>
            <w:tcW w:type="dxa" w:w="2900"/>
            <w:tcMar>
              <w:top w:w="80" w:type="dxa"/>
              <w:bottom w:w="80" w:type="dxa"/>
              <w:start w:w="120" w:type="dxa"/>
              <w:end w:w="120" w:type="dxa"/>
            </w:tcMar>
          </w:tcPr>
          <w:p>
            <w:pPr>
              <w:pStyle w:val="TableText"/>
            </w:pPr>
            <w:r>
              <w:t>60_source_first_report.sql</w:t>
            </w:r>
          </w:p>
        </w:tc>
        <w:tc>
          <w:tcPr>
            <w:tcW w:type="dxa" w:w="3100"/>
            <w:tcMar>
              <w:top w:w="80" w:type="dxa"/>
              <w:bottom w:w="80" w:type="dxa"/>
              <w:start w:w="120" w:type="dxa"/>
              <w:end w:w="120" w:type="dxa"/>
            </w:tcMar>
          </w:tcPr>
          <w:p>
            <w:pPr>
              <w:pStyle w:val="TableText"/>
            </w:pPr>
            <w:r>
              <w:t>Delivery master/maps + source records and upstream evidence</w:t>
            </w:r>
          </w:p>
        </w:tc>
        <w:tc>
          <w:tcPr>
            <w:tcW w:type="dxa" w:w="3360"/>
            <w:tcMar>
              <w:top w:w="80" w:type="dxa"/>
              <w:bottom w:w="80" w:type="dxa"/>
              <w:start w:w="120" w:type="dxa"/>
              <w:end w:w="120" w:type="dxa"/>
            </w:tcMar>
          </w:tcPr>
          <w:p>
            <w:pPr>
              <w:pStyle w:val="TableText"/>
            </w:pPr>
            <w:r>
              <w:t>t_delivery_source_first_report_native</w:t>
            </w:r>
          </w:p>
        </w:tc>
      </w:tr>
    </w:tbl>
    <w:p>
      <w:r>
        <w:t>Create adapter and reporting views when definitions change. Deploy 01a_sigizi_deleted_registry.sql before the updated source builder. Seed and maintain geography references deliberately. Replace the existing scheduled source-builder SQL in place; do not leave the old builder running alongside it.</w:t>
      </w:r>
    </w:p>
    <w:p>
      <w:pPr>
        <w:pStyle w:val="Heading2"/>
        <w:pageBreakBefore/>
      </w:pPr>
      <w:r>
        <w:t>Appendix: exact core outputs and lineage</w:t>
      </w:r>
    </w:p>
    <w:tbl>
      <w:tblPr>
        <w:tblStyle w:val="TableGrid"/>
        <w:tblW w:type="dxa" w:w="9360"/>
        <w:jc w:val="left"/>
        <w:tblLayout w:type="fixed"/>
        <w:tblLook w:firstColumn="1" w:firstRow="1" w:lastColumn="0" w:lastRow="0" w:noHBand="0" w:noVBand="1" w:val="04A0"/>
        <w:tblInd w:type="dxa" w:w="120"/>
      </w:tblPr>
      <w:tblGrid>
        <w:gridCol w:w="2900"/>
        <w:gridCol w:w="6460"/>
      </w:tblGrid>
      <w:tr>
        <w:trPr>
          <w:cantSplit/>
          <w:tblHeader/>
        </w:trPr>
        <w:tc>
          <w:tcPr>
            <w:tcW w:type="dxa" w:w="2900"/>
            <w:shd w:fill="F2F4F7"/>
            <w:tcMar>
              <w:top w:w="80" w:type="dxa"/>
              <w:bottom w:w="80" w:type="dxa"/>
              <w:start w:w="120" w:type="dxa"/>
              <w:end w:w="120" w:type="dxa"/>
            </w:tcMar>
          </w:tcPr>
          <w:p>
            <w:pPr>
              <w:pStyle w:val="TableText"/>
            </w:pPr>
            <w:r>
              <w:rPr>
                <w:b/>
              </w:rPr>
              <w:t>Stage</w:t>
            </w:r>
          </w:p>
        </w:tc>
        <w:tc>
          <w:tcPr>
            <w:tcW w:type="dxa" w:w="6460"/>
            <w:shd w:fill="F2F4F7"/>
            <w:tcMar>
              <w:top w:w="80" w:type="dxa"/>
              <w:bottom w:w="80" w:type="dxa"/>
              <w:start w:w="120" w:type="dxa"/>
              <w:end w:w="120" w:type="dxa"/>
            </w:tcMar>
          </w:tcPr>
          <w:p>
            <w:pPr>
              <w:pStyle w:val="TableText"/>
            </w:pPr>
            <w:r>
              <w:rPr>
                <w:b/>
              </w:rPr>
              <w:t>Persistent outputs</w:t>
            </w:r>
          </w:p>
        </w:tc>
      </w:tr>
      <w:tr>
        <w:trPr>
          <w:cantSplit/>
        </w:trPr>
        <w:tc>
          <w:tcPr>
            <w:tcW w:type="dxa" w:w="2900"/>
            <w:tcMar>
              <w:top w:w="80" w:type="dxa"/>
              <w:bottom w:w="80" w:type="dxa"/>
              <w:start w:w="120" w:type="dxa"/>
              <w:end w:w="120" w:type="dxa"/>
            </w:tcMar>
          </w:tcPr>
          <w:p>
            <w:pPr>
              <w:pStyle w:val="TableText"/>
            </w:pPr>
            <w:r>
              <w:t>Pregnancy canonicalization</w:t>
            </w:r>
          </w:p>
        </w:tc>
        <w:tc>
          <w:tcPr>
            <w:tcW w:type="dxa" w:w="6460"/>
            <w:tcMar>
              <w:top w:w="80" w:type="dxa"/>
              <w:bottom w:w="80" w:type="dxa"/>
              <w:start w:w="120" w:type="dxa"/>
              <w:end w:w="120" w:type="dxa"/>
            </w:tcMar>
          </w:tcPr>
          <w:p>
            <w:pPr>
              <w:pStyle w:val="TableText"/>
            </w:pPr>
            <w:r>
              <w:t>t_sigizi_episode_canonical_map_v3_3</w:t>
              <w:br/>
              <w:t>t_sigizi_pregnancy_episode_canonical_v3_3</w:t>
              <w:br/>
              <w:t>t_epus_episode_canonical_map_v3_3</w:t>
              <w:br/>
              <w:t>t_epus_pregnancy_episode_canonical_v3_3</w:t>
              <w:br/>
              <w:t>t_pregnancy_episode_spine_v3_3</w:t>
              <w:br/>
              <w:t>t_pregnancy_final_canonical_map_v3_3</w:t>
            </w:r>
          </w:p>
        </w:tc>
      </w:tr>
      <w:tr>
        <w:trPr>
          <w:cantSplit/>
        </w:trPr>
        <w:tc>
          <w:tcPr>
            <w:tcW w:type="dxa" w:w="2900"/>
            <w:tcMar>
              <w:top w:w="80" w:type="dxa"/>
              <w:bottom w:w="80" w:type="dxa"/>
              <w:start w:w="120" w:type="dxa"/>
              <w:end w:w="120" w:type="dxa"/>
            </w:tcMar>
          </w:tcPr>
          <w:p>
            <w:pPr>
              <w:pStyle w:val="TableText"/>
            </w:pPr>
            <w:r>
              <w:t>Delivery canonicalization</w:t>
            </w:r>
          </w:p>
        </w:tc>
        <w:tc>
          <w:tcPr>
            <w:tcW w:type="dxa" w:w="6460"/>
            <w:tcMar>
              <w:top w:w="80" w:type="dxa"/>
              <w:bottom w:w="80" w:type="dxa"/>
              <w:start w:w="120" w:type="dxa"/>
              <w:end w:w="120" w:type="dxa"/>
            </w:tcMar>
          </w:tcPr>
          <w:p>
            <w:pPr>
              <w:pStyle w:val="TableText"/>
            </w:pPr>
            <w:r>
              <w:t>t_delivery_source_records</w:t>
              <w:br/>
              <w:t>t_delivery_dedup_base</w:t>
              <w:br/>
              <w:t>t_delivery_event_member_map</w:t>
              <w:br/>
              <w:t>t_delivery_event_master_unlinked</w:t>
              <w:br/>
              <w:t>t_delivery_sigizi_direct_rescue_v3</w:t>
              <w:br/>
              <w:t>t_delivery_event_member_map_v3</w:t>
              <w:br/>
              <w:t>t_delivery_event_master_v3</w:t>
            </w:r>
          </w:p>
        </w:tc>
      </w:tr>
    </w:tbl>
    <w:p>
      <w:pPr>
        <w:pStyle w:val="Heading2"/>
      </w:pPr>
      <w:r>
        <w:t>How to trace a pregnancy</w:t>
      </w:r>
    </w:p>
    <w:p>
      <w:r>
        <w:t>Start with the pregnancy_episode_id exposed by the reporting view. Read its spine row, then use the final canonical map and source-canonical maps to locate the contributing source episodes. SIGIZI episode membership links back to t_sigizi_source_records; EPUS source keys lead back through the pregnancy master and assigned pregnancy records to the source records.</w:t>
      </w:r>
    </w:p>
    <w:p>
      <w:pPr>
        <w:pStyle w:val="Heading2"/>
      </w:pPr>
      <w:r>
        <w:t>How to trace a delivery</w:t>
      </w:r>
    </w:p>
    <w:p>
      <w:r>
        <w:t>Start with delivery_event_id from the delivery reporting view. Use t_delivery_event_member_map_v3 to recover source_event_id values, then read those records from t_delivery_dedup_base and the relevant upstream evidence. The initial member map belongs to the pre-ANC event IDs; the final member map belongs to the post-consolidation IDs.</w:t>
      </w:r>
    </w:p>
    <w:p>
      <w:pPr>
        <w:pStyle w:val="Heading2"/>
      </w:pPr>
      <w:r>
        <w:t>How to trace geography</w:t>
      </w:r>
    </w:p>
    <w:p>
      <w:r>
        <w:t>Find the original SIGIZI row by source_table and source_record_id. Read t_sigizi_location_resolved_v1 to compare original geography, selected geography and resolution method. Its output must agree with the corrected source table used by the downstream episode build.</w:t>
      </w:r>
    </w:p>
    <w:p>
      <w:pPr>
        <w:pStyle w:val="Heading2"/>
      </w:pPr>
      <w:r>
        <w:t>Why identifiers can change</w:t>
      </w:r>
    </w:p>
    <w:p>
      <w:r>
        <w:t>New or corrected evidence can change episode membership or the chosen representative. Generated pregnancy or delivery IDs can therefore change even when their original source records still exist. Compare source membership and selected fields to distinguish regrouping from actual missing evidence.</w:t>
      </w:r>
    </w:p>
    <w:p>
      <w:pPr>
        <w:pStyle w:val="Heading2"/>
        <w:pageBreakBefore/>
      </w:pPr>
      <w:r>
        <w:t>Appendix: reporting views and their direct inputs</w:t>
      </w:r>
    </w:p>
    <w:p>
      <w:pPr>
        <w:pStyle w:val="CaptionText"/>
      </w:pPr>
      <w:r>
        <w:t>These dependencies are extracted from the supplied deployment SQL. This table shows direct reads, so follow another listed view to continue upstream. Unqualified objects are in kohort_bumil_v3.</w:t>
      </w:r>
    </w:p>
    <w:tbl>
      <w:tblPr>
        <w:tblStyle w:val="TableGrid"/>
        <w:tblW w:type="dxa" w:w="9360"/>
        <w:jc w:val="left"/>
        <w:tblLayout w:type="fixed"/>
        <w:tblLook w:firstColumn="1" w:firstRow="1" w:lastColumn="0" w:lastRow="0" w:noHBand="0" w:noVBand="1" w:val="04A0"/>
        <w:tblInd w:type="dxa" w:w="120"/>
      </w:tblPr>
      <w:tblGrid>
        <w:gridCol w:w="4600"/>
        <w:gridCol w:w="4760"/>
      </w:tblGrid>
      <w:tr>
        <w:trPr>
          <w:cantSplit/>
          <w:tblHeader/>
        </w:trPr>
        <w:tc>
          <w:tcPr>
            <w:tcW w:type="dxa" w:w="4600"/>
            <w:shd w:fill="F2F4F7"/>
            <w:tcMar>
              <w:top w:w="80" w:type="dxa"/>
              <w:bottom w:w="80" w:type="dxa"/>
              <w:start w:w="120" w:type="dxa"/>
              <w:end w:w="120" w:type="dxa"/>
            </w:tcMar>
          </w:tcPr>
          <w:p>
            <w:pPr>
              <w:pStyle w:val="TableText"/>
            </w:pPr>
            <w:r>
              <w:rPr>
                <w:b/>
              </w:rPr>
              <w:t>Reporting view</w:t>
            </w:r>
          </w:p>
        </w:tc>
        <w:tc>
          <w:tcPr>
            <w:tcW w:type="dxa" w:w="4760"/>
            <w:shd w:fill="F2F4F7"/>
            <w:tcMar>
              <w:top w:w="80" w:type="dxa"/>
              <w:bottom w:w="80" w:type="dxa"/>
              <w:start w:w="120" w:type="dxa"/>
              <w:end w:w="120" w:type="dxa"/>
            </w:tcMar>
          </w:tcPr>
          <w:p>
            <w:pPr>
              <w:pStyle w:val="TableText"/>
            </w:pPr>
            <w:r>
              <w:rPr>
                <w:b/>
              </w:rPr>
              <w:t>Direct inputs in its SELECT</w:t>
            </w:r>
          </w:p>
        </w:tc>
      </w:tr>
      <w:tr>
        <w:trPr>
          <w:cantSplit/>
        </w:trPr>
        <w:tc>
          <w:tcPr>
            <w:tcW w:type="dxa" w:w="4600"/>
            <w:tcMar>
              <w:top w:w="80" w:type="dxa"/>
              <w:bottom w:w="80" w:type="dxa"/>
              <w:start w:w="120" w:type="dxa"/>
              <w:end w:w="120" w:type="dxa"/>
            </w:tcMar>
          </w:tcPr>
          <w:p>
            <w:pPr>
              <w:pStyle w:val="TableText"/>
            </w:pPr>
            <w:r>
              <w:t>v_delivery_event_master_validated</w:t>
            </w:r>
          </w:p>
        </w:tc>
        <w:tc>
          <w:tcPr>
            <w:tcW w:type="dxa" w:w="4760"/>
            <w:tcMar>
              <w:top w:w="80" w:type="dxa"/>
              <w:bottom w:w="80" w:type="dxa"/>
              <w:start w:w="120" w:type="dxa"/>
              <w:end w:w="120" w:type="dxa"/>
            </w:tcMar>
          </w:tcPr>
          <w:p>
            <w:pPr>
              <w:pStyle w:val="TableText"/>
            </w:pPr>
            <w:r>
              <w:t>t_delivery_event_master_v3</w:t>
            </w:r>
          </w:p>
        </w:tc>
      </w:tr>
      <w:tr>
        <w:trPr>
          <w:cantSplit/>
        </w:trPr>
        <w:tc>
          <w:tcPr>
            <w:tcW w:type="dxa" w:w="4600"/>
            <w:tcMar>
              <w:top w:w="80" w:type="dxa"/>
              <w:bottom w:w="80" w:type="dxa"/>
              <w:start w:w="120" w:type="dxa"/>
              <w:end w:w="120" w:type="dxa"/>
            </w:tcMar>
          </w:tcPr>
          <w:p>
            <w:pPr>
              <w:pStyle w:val="TableText"/>
            </w:pPr>
            <w:r>
              <w:t>v_delivery_monitoring_integrated</w:t>
            </w:r>
          </w:p>
        </w:tc>
        <w:tc>
          <w:tcPr>
            <w:tcW w:type="dxa" w:w="4760"/>
            <w:tcMar>
              <w:top w:w="80" w:type="dxa"/>
              <w:bottom w:w="80" w:type="dxa"/>
              <w:start w:w="120" w:type="dxa"/>
              <w:end w:w="120" w:type="dxa"/>
            </w:tcMar>
          </w:tcPr>
          <w:p>
            <w:pPr>
              <w:pStyle w:val="TableText"/>
            </w:pPr>
            <w:r>
              <w:t>v_delivery_event_master_validated</w:t>
            </w:r>
          </w:p>
        </w:tc>
      </w:tr>
      <w:tr>
        <w:trPr>
          <w:cantSplit/>
        </w:trPr>
        <w:tc>
          <w:tcPr>
            <w:tcW w:type="dxa" w:w="4600"/>
            <w:tcMar>
              <w:top w:w="80" w:type="dxa"/>
              <w:bottom w:w="80" w:type="dxa"/>
              <w:start w:w="120" w:type="dxa"/>
              <w:end w:w="120" w:type="dxa"/>
            </w:tcMar>
          </w:tcPr>
          <w:p>
            <w:pPr>
              <w:pStyle w:val="TableText"/>
            </w:pPr>
            <w:r>
              <w:t>v_pregnancy_monitoring_integrated</w:t>
            </w:r>
          </w:p>
        </w:tc>
        <w:tc>
          <w:tcPr>
            <w:tcW w:type="dxa" w:w="4760"/>
            <w:tcMar>
              <w:top w:w="80" w:type="dxa"/>
              <w:bottom w:w="80" w:type="dxa"/>
              <w:start w:w="120" w:type="dxa"/>
              <w:end w:w="120" w:type="dxa"/>
            </w:tcMar>
          </w:tcPr>
          <w:p>
            <w:pPr>
              <w:pStyle w:val="TableText"/>
            </w:pPr>
            <w:r>
              <w:t>t_pregnancy_outcome_tracking_v3_3</w:t>
              <w:br/>
              <w:t>v_delivery_event_master_validated</w:t>
            </w:r>
          </w:p>
        </w:tc>
      </w:tr>
      <w:tr>
        <w:trPr>
          <w:cantSplit/>
        </w:trPr>
        <w:tc>
          <w:tcPr>
            <w:tcW w:type="dxa" w:w="4600"/>
            <w:tcMar>
              <w:top w:w="80" w:type="dxa"/>
              <w:bottom w:w="80" w:type="dxa"/>
              <w:start w:w="120" w:type="dxa"/>
              <w:end w:w="120" w:type="dxa"/>
            </w:tcMar>
          </w:tcPr>
          <w:p>
            <w:pPr>
              <w:pStyle w:val="TableText"/>
            </w:pPr>
            <w:r>
              <w:t>v_pregnancy_monitoring_by_source_scope</w:t>
            </w:r>
          </w:p>
        </w:tc>
        <w:tc>
          <w:tcPr>
            <w:tcW w:type="dxa" w:w="4760"/>
            <w:tcMar>
              <w:top w:w="80" w:type="dxa"/>
              <w:bottom w:w="80" w:type="dxa"/>
              <w:start w:w="120" w:type="dxa"/>
              <w:end w:w="120" w:type="dxa"/>
            </w:tcMar>
          </w:tcPr>
          <w:p>
            <w:pPr>
              <w:pStyle w:val="TableText"/>
            </w:pPr>
            <w:r>
              <w:t>v_pregnancy_monitoring_integrated</w:t>
            </w:r>
          </w:p>
        </w:tc>
      </w:tr>
      <w:tr>
        <w:trPr>
          <w:cantSplit/>
        </w:trPr>
        <w:tc>
          <w:tcPr>
            <w:tcW w:type="dxa" w:w="4600"/>
            <w:tcMar>
              <w:top w:w="80" w:type="dxa"/>
              <w:bottom w:w="80" w:type="dxa"/>
              <w:start w:w="120" w:type="dxa"/>
              <w:end w:w="120" w:type="dxa"/>
            </w:tcMar>
          </w:tcPr>
          <w:p>
            <w:pPr>
              <w:pStyle w:val="TableText"/>
            </w:pPr>
            <w:r>
              <w:t>v_pregnancy_source_crosswalk_v3_3</w:t>
            </w:r>
          </w:p>
        </w:tc>
        <w:tc>
          <w:tcPr>
            <w:tcW w:type="dxa" w:w="4760"/>
            <w:tcMar>
              <w:top w:w="80" w:type="dxa"/>
              <w:bottom w:w="80" w:type="dxa"/>
              <w:start w:w="120" w:type="dxa"/>
              <w:end w:w="120" w:type="dxa"/>
            </w:tcMar>
          </w:tcPr>
          <w:p>
            <w:pPr>
              <w:pStyle w:val="TableText"/>
            </w:pPr>
            <w:r>
              <w:t>t_pregnancy_episode_spine_v3_3</w:t>
            </w:r>
          </w:p>
        </w:tc>
      </w:tr>
      <w:tr>
        <w:trPr>
          <w:cantSplit/>
        </w:trPr>
        <w:tc>
          <w:tcPr>
            <w:tcW w:type="dxa" w:w="4600"/>
            <w:tcMar>
              <w:top w:w="80" w:type="dxa"/>
              <w:bottom w:w="80" w:type="dxa"/>
              <w:start w:w="120" w:type="dxa"/>
              <w:end w:w="120" w:type="dxa"/>
            </w:tcMar>
          </w:tcPr>
          <w:p>
            <w:pPr>
              <w:pStyle w:val="TableText"/>
            </w:pPr>
            <w:r>
              <w:t>v_pregnancy_delivery_source_long</w:t>
            </w:r>
          </w:p>
        </w:tc>
        <w:tc>
          <w:tcPr>
            <w:tcW w:type="dxa" w:w="4760"/>
            <w:tcMar>
              <w:top w:w="80" w:type="dxa"/>
              <w:bottom w:w="80" w:type="dxa"/>
              <w:start w:w="120" w:type="dxa"/>
              <w:end w:w="120" w:type="dxa"/>
            </w:tcMar>
          </w:tcPr>
          <w:p>
            <w:pPr>
              <w:pStyle w:val="TableText"/>
            </w:pPr>
            <w:r>
              <w:t>v_pregnancy_monitoring_integrated</w:t>
            </w:r>
          </w:p>
        </w:tc>
      </w:tr>
      <w:tr>
        <w:trPr>
          <w:cantSplit/>
        </w:trPr>
        <w:tc>
          <w:tcPr>
            <w:tcW w:type="dxa" w:w="4600"/>
            <w:tcMar>
              <w:top w:w="80" w:type="dxa"/>
              <w:bottom w:w="80" w:type="dxa"/>
              <w:start w:w="120" w:type="dxa"/>
              <w:end w:w="120" w:type="dxa"/>
            </w:tcMar>
          </w:tcPr>
          <w:p>
            <w:pPr>
              <w:pStyle w:val="TableText"/>
            </w:pPr>
            <w:r>
              <w:t>v_pregnancy_delivery_source_overlap_v3_3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v_pregnancy_dating_accuracy_v3_3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v_pregnancy_outcome_tracking_dashboard_v3_3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v_pregnancy_outcome_trend_monthly_v3_3</w:t>
            </w:r>
          </w:p>
        </w:tc>
        <w:tc>
          <w:tcPr>
            <w:tcW w:type="dxa" w:w="4760"/>
            <w:tcMar>
              <w:top w:w="80" w:type="dxa"/>
              <w:bottom w:w="80" w:type="dxa"/>
              <w:start w:w="120" w:type="dxa"/>
              <w:end w:w="120" w:type="dxa"/>
            </w:tcMar>
          </w:tcPr>
          <w:p>
            <w:pPr>
              <w:pStyle w:val="TableText"/>
            </w:pPr>
            <w:r>
              <w:t>t_pregnancy_outcome_tracking_v3_3</w:t>
            </w:r>
          </w:p>
        </w:tc>
      </w:tr>
      <w:tr>
        <w:trPr>
          <w:cantSplit/>
        </w:trPr>
        <w:tc>
          <w:tcPr>
            <w:tcW w:type="dxa" w:w="4600"/>
            <w:tcMar>
              <w:top w:w="80" w:type="dxa"/>
              <w:bottom w:w="80" w:type="dxa"/>
              <w:start w:w="120" w:type="dxa"/>
              <w:end w:w="120" w:type="dxa"/>
            </w:tcMar>
          </w:tcPr>
          <w:p>
            <w:pPr>
              <w:pStyle w:val="TableText"/>
            </w:pPr>
            <w:r>
              <w:t>v_delivery_timing_analysis_v1</w:t>
            </w:r>
          </w:p>
        </w:tc>
        <w:tc>
          <w:tcPr>
            <w:tcW w:type="dxa" w:w="4760"/>
            <w:tcMar>
              <w:top w:w="80" w:type="dxa"/>
              <w:bottom w:w="80" w:type="dxa"/>
              <w:start w:w="120" w:type="dxa"/>
              <w:end w:w="120" w:type="dxa"/>
            </w:tcMar>
          </w:tcPr>
          <w:p>
            <w:pPr>
              <w:pStyle w:val="TableText"/>
            </w:pPr>
            <w:r>
              <w:t>t_delivery_event_master_v3</w:t>
              <w:br/>
              <w:t>t_pregnancy_outcome_tracking_v3_3</w:t>
            </w:r>
          </w:p>
        </w:tc>
      </w:tr>
      <w:tr>
        <w:trPr>
          <w:cantSplit/>
        </w:trPr>
        <w:tc>
          <w:tcPr>
            <w:tcW w:type="dxa" w:w="4600"/>
            <w:tcMar>
              <w:top w:w="80" w:type="dxa"/>
              <w:bottom w:w="80" w:type="dxa"/>
              <w:start w:w="120" w:type="dxa"/>
              <w:end w:w="120" w:type="dxa"/>
            </w:tcMar>
          </w:tcPr>
          <w:p>
            <w:pPr>
              <w:pStyle w:val="TableText"/>
            </w:pPr>
            <w:r>
              <w:t>v_birth_outcome_event_dashboard</w:t>
            </w:r>
          </w:p>
        </w:tc>
        <w:tc>
          <w:tcPr>
            <w:tcW w:type="dxa" w:w="4760"/>
            <w:tcMar>
              <w:top w:w="80" w:type="dxa"/>
              <w:bottom w:w="80" w:type="dxa"/>
              <w:start w:w="120" w:type="dxa"/>
              <w:end w:w="120" w:type="dxa"/>
            </w:tcMar>
          </w:tcPr>
          <w:p>
            <w:pPr>
              <w:pStyle w:val="TableText"/>
            </w:pPr>
            <w:r>
              <w:t>t_delivery_event_master_v3</w:t>
              <w:br/>
              <w:t>v_pregnancy_monitoring_integrated</w:t>
            </w:r>
          </w:p>
        </w:tc>
      </w:tr>
      <w:tr>
        <w:trPr>
          <w:cantSplit/>
        </w:trPr>
        <w:tc>
          <w:tcPr>
            <w:tcW w:type="dxa" w:w="4600"/>
            <w:tcMar>
              <w:top w:w="80" w:type="dxa"/>
              <w:bottom w:w="80" w:type="dxa"/>
              <w:start w:w="120" w:type="dxa"/>
              <w:end w:w="120" w:type="dxa"/>
            </w:tcMar>
          </w:tcPr>
          <w:p>
            <w:pPr>
              <w:pStyle w:val="TableText"/>
            </w:pPr>
            <w:r>
              <w:t>v_birth_outcome_period_comparison</w:t>
            </w:r>
          </w:p>
        </w:tc>
        <w:tc>
          <w:tcPr>
            <w:tcW w:type="dxa" w:w="4760"/>
            <w:tcMar>
              <w:top w:w="80" w:type="dxa"/>
              <w:bottom w:w="80" w:type="dxa"/>
              <w:start w:w="120" w:type="dxa"/>
              <w:end w:w="120" w:type="dxa"/>
            </w:tcMar>
          </w:tcPr>
          <w:p>
            <w:pPr>
              <w:pStyle w:val="TableText"/>
            </w:pPr>
            <w:r>
              <w:t>v_delivery_monitoring_integrated</w:t>
              <w:br/>
              <w:t>v_pregnancy_monitoring_integrated</w:t>
            </w:r>
          </w:p>
        </w:tc>
      </w:tr>
      <w:tr>
        <w:trPr>
          <w:cantSplit/>
        </w:trPr>
        <w:tc>
          <w:tcPr>
            <w:tcW w:type="dxa" w:w="4600"/>
            <w:tcMar>
              <w:top w:w="80" w:type="dxa"/>
              <w:bottom w:w="80" w:type="dxa"/>
              <w:start w:w="120" w:type="dxa"/>
              <w:end w:w="120" w:type="dxa"/>
            </w:tcMar>
          </w:tcPr>
          <w:p>
            <w:pPr>
              <w:pStyle w:val="TableText"/>
            </w:pPr>
            <w:r>
              <w:t>v_birth_capture_step_wedge_daily</w:t>
            </w:r>
          </w:p>
        </w:tc>
        <w:tc>
          <w:tcPr>
            <w:tcW w:type="dxa" w:w="4760"/>
            <w:tcMar>
              <w:top w:w="80" w:type="dxa"/>
              <w:bottom w:w="80" w:type="dxa"/>
              <w:start w:w="120" w:type="dxa"/>
              <w:end w:w="120" w:type="dxa"/>
            </w:tcMar>
          </w:tcPr>
          <w:p>
            <w:pPr>
              <w:pStyle w:val="TableText"/>
            </w:pPr>
            <w:r>
              <w:t>ref_step_wedge_lombok_barat</w:t>
              <w:br/>
              <w:t>v_pregnancy_monitoring_integrated</w:t>
            </w:r>
          </w:p>
        </w:tc>
      </w:tr>
      <w:tr>
        <w:trPr>
          <w:cantSplit/>
        </w:trPr>
        <w:tc>
          <w:tcPr>
            <w:tcW w:type="dxa" w:w="4600"/>
            <w:tcMar>
              <w:top w:w="80" w:type="dxa"/>
              <w:bottom w:w="80" w:type="dxa"/>
              <w:start w:w="120" w:type="dxa"/>
              <w:end w:w="120" w:type="dxa"/>
            </w:tcMar>
          </w:tcPr>
          <w:p>
            <w:pPr>
              <w:pStyle w:val="TableText"/>
            </w:pPr>
            <w:r>
              <w:t>v_birth_capture_step_wedge_wide</w:t>
            </w:r>
          </w:p>
        </w:tc>
        <w:tc>
          <w:tcPr>
            <w:tcW w:type="dxa" w:w="4760"/>
            <w:tcMar>
              <w:top w:w="80" w:type="dxa"/>
              <w:bottom w:w="80" w:type="dxa"/>
              <w:start w:w="120" w:type="dxa"/>
              <w:end w:w="120" w:type="dxa"/>
            </w:tcMar>
          </w:tcPr>
          <w:p>
            <w:pPr>
              <w:pStyle w:val="TableText"/>
            </w:pPr>
            <w:r>
              <w:t>v_birth_capture_step_wedge_daily</w:t>
            </w:r>
          </w:p>
        </w:tc>
      </w:tr>
    </w:tbl>
    <w:p>
      <w:r>
        <w:t>A chart connected to a reporting view reads the view’s dependencies at query time. Rebuilding a stored source/core table can change the chart values without changing the view definition. Preserve field names, types, grain and filter behavior when changing the reporting layer.</w:t>
      </w:r>
    </w:p>
    <w:p>
      <w:pPr>
        <w:pStyle w:val="Heading2"/>
        <w:pageBreakBefore/>
      </w:pPr>
      <w:r>
        <w:t>Appendix: dating, timing and weight dependencies</w:t>
      </w:r>
    </w:p>
    <w:tbl>
      <w:tblPr>
        <w:tblStyle w:val="TableGrid"/>
        <w:tblW w:type="dxa" w:w="9360"/>
        <w:jc w:val="left"/>
        <w:tblLayout w:type="fixed"/>
        <w:tblLook w:firstColumn="1" w:firstRow="1" w:lastColumn="0" w:lastRow="0" w:noHBand="0" w:noVBand="1" w:val="04A0"/>
        <w:tblInd w:type="dxa" w:w="120"/>
      </w:tblPr>
      <w:tblGrid>
        <w:gridCol w:w="4600"/>
        <w:gridCol w:w="4760"/>
      </w:tblGrid>
      <w:tr>
        <w:trPr>
          <w:cantSplit/>
          <w:tblHeader/>
        </w:trPr>
        <w:tc>
          <w:tcPr>
            <w:tcW w:type="dxa" w:w="4600"/>
            <w:shd w:fill="F2F4F7"/>
            <w:tcMar>
              <w:top w:w="80" w:type="dxa"/>
              <w:bottom w:w="80" w:type="dxa"/>
              <w:start w:w="120" w:type="dxa"/>
              <w:end w:w="120" w:type="dxa"/>
            </w:tcMar>
          </w:tcPr>
          <w:p>
            <w:pPr>
              <w:pStyle w:val="TableText"/>
            </w:pPr>
            <w:r>
              <w:rPr>
                <w:b/>
              </w:rPr>
              <w:t>Reporting view</w:t>
            </w:r>
          </w:p>
        </w:tc>
        <w:tc>
          <w:tcPr>
            <w:tcW w:type="dxa" w:w="4760"/>
            <w:shd w:fill="F2F4F7"/>
            <w:tcMar>
              <w:top w:w="80" w:type="dxa"/>
              <w:bottom w:w="80" w:type="dxa"/>
              <w:start w:w="120" w:type="dxa"/>
              <w:end w:w="120" w:type="dxa"/>
            </w:tcMar>
          </w:tcPr>
          <w:p>
            <w:pPr>
              <w:pStyle w:val="TableText"/>
            </w:pPr>
            <w:r>
              <w:rPr>
                <w:b/>
              </w:rPr>
              <w:t>Direct inputs in its SELECT</w:t>
            </w:r>
          </w:p>
        </w:tc>
      </w:tr>
      <w:tr>
        <w:trPr>
          <w:cantSplit/>
        </w:trPr>
        <w:tc>
          <w:tcPr>
            <w:tcW w:type="dxa" w:w="4600"/>
            <w:tcMar>
              <w:top w:w="80" w:type="dxa"/>
              <w:bottom w:w="80" w:type="dxa"/>
              <w:start w:w="120" w:type="dxa"/>
              <w:end w:w="120" w:type="dxa"/>
            </w:tcMar>
          </w:tcPr>
          <w:p>
            <w:pPr>
              <w:pStyle w:val="TableText"/>
            </w:pPr>
            <w:r>
              <w:t>v_edd_usg_hpht_paired</w:t>
            </w:r>
          </w:p>
        </w:tc>
        <w:tc>
          <w:tcPr>
            <w:tcW w:type="dxa" w:w="4760"/>
            <w:tcMar>
              <w:top w:w="80" w:type="dxa"/>
              <w:bottom w:w="80" w:type="dxa"/>
              <w:start w:w="120" w:type="dxa"/>
              <w:end w:w="120" w:type="dxa"/>
            </w:tcMar>
          </w:tcPr>
          <w:p>
            <w:pPr>
              <w:pStyle w:val="TableText"/>
            </w:pPr>
            <w:r>
              <w:t>v_birth_outcome_event_dashboard</w:t>
            </w:r>
          </w:p>
        </w:tc>
      </w:tr>
      <w:tr>
        <w:trPr>
          <w:cantSplit/>
        </w:trPr>
        <w:tc>
          <w:tcPr>
            <w:tcW w:type="dxa" w:w="4600"/>
            <w:tcMar>
              <w:top w:w="80" w:type="dxa"/>
              <w:bottom w:w="80" w:type="dxa"/>
              <w:start w:w="120" w:type="dxa"/>
              <w:end w:w="120" w:type="dxa"/>
            </w:tcMar>
          </w:tcPr>
          <w:p>
            <w:pPr>
              <w:pStyle w:val="TableText"/>
            </w:pPr>
            <w:r>
              <w:t>v_edd_usg_hpht_paired_distribution</w:t>
            </w:r>
          </w:p>
        </w:tc>
        <w:tc>
          <w:tcPr>
            <w:tcW w:type="dxa" w:w="4760"/>
            <w:tcMar>
              <w:top w:w="80" w:type="dxa"/>
              <w:bottom w:w="80" w:type="dxa"/>
              <w:start w:w="120" w:type="dxa"/>
              <w:end w:w="120" w:type="dxa"/>
            </w:tcMar>
          </w:tcPr>
          <w:p>
            <w:pPr>
              <w:pStyle w:val="TableText"/>
            </w:pPr>
            <w:r>
              <w:t>v_edd_usg_hpht_paired</w:t>
            </w:r>
          </w:p>
        </w:tc>
      </w:tr>
      <w:tr>
        <w:trPr>
          <w:cantSplit/>
        </w:trPr>
        <w:tc>
          <w:tcPr>
            <w:tcW w:type="dxa" w:w="4600"/>
            <w:tcMar>
              <w:top w:w="80" w:type="dxa"/>
              <w:bottom w:w="80" w:type="dxa"/>
              <w:start w:w="120" w:type="dxa"/>
              <w:end w:w="120" w:type="dxa"/>
            </w:tcMar>
          </w:tcPr>
          <w:p>
            <w:pPr>
              <w:pStyle w:val="TableText"/>
            </w:pPr>
            <w:r>
              <w:t>v_ga_usg_hpht_paired</w:t>
            </w:r>
          </w:p>
        </w:tc>
        <w:tc>
          <w:tcPr>
            <w:tcW w:type="dxa" w:w="4760"/>
            <w:tcMar>
              <w:top w:w="80" w:type="dxa"/>
              <w:bottom w:w="80" w:type="dxa"/>
              <w:start w:w="120" w:type="dxa"/>
              <w:end w:w="120" w:type="dxa"/>
            </w:tcMar>
          </w:tcPr>
          <w:p>
            <w:pPr>
              <w:pStyle w:val="TableText"/>
            </w:pPr>
            <w:r>
              <w:t>v_birth_outcome_event_dashboard</w:t>
            </w:r>
          </w:p>
        </w:tc>
      </w:tr>
      <w:tr>
        <w:trPr>
          <w:cantSplit/>
        </w:trPr>
        <w:tc>
          <w:tcPr>
            <w:tcW w:type="dxa" w:w="4600"/>
            <w:tcMar>
              <w:top w:w="80" w:type="dxa"/>
              <w:bottom w:w="80" w:type="dxa"/>
              <w:start w:w="120" w:type="dxa"/>
              <w:end w:w="120" w:type="dxa"/>
            </w:tcMar>
          </w:tcPr>
          <w:p>
            <w:pPr>
              <w:pStyle w:val="TableText"/>
            </w:pPr>
            <w:r>
              <w:t>v_ga_usg_hpht_paired_distribution</w:t>
            </w:r>
          </w:p>
        </w:tc>
        <w:tc>
          <w:tcPr>
            <w:tcW w:type="dxa" w:w="4760"/>
            <w:tcMar>
              <w:top w:w="80" w:type="dxa"/>
              <w:bottom w:w="80" w:type="dxa"/>
              <w:start w:w="120" w:type="dxa"/>
              <w:end w:w="120" w:type="dxa"/>
            </w:tcMar>
          </w:tcPr>
          <w:p>
            <w:pPr>
              <w:pStyle w:val="TableText"/>
            </w:pPr>
            <w:r>
              <w:t>v_ga_usg_hpht_paired</w:t>
            </w:r>
          </w:p>
        </w:tc>
      </w:tr>
      <w:tr>
        <w:trPr>
          <w:cantSplit/>
        </w:trPr>
        <w:tc>
          <w:tcPr>
            <w:tcW w:type="dxa" w:w="4600"/>
            <w:tcMar>
              <w:top w:w="80" w:type="dxa"/>
              <w:bottom w:w="80" w:type="dxa"/>
              <w:start w:w="120" w:type="dxa"/>
              <w:end w:w="120" w:type="dxa"/>
            </w:tcMar>
          </w:tcPr>
          <w:p>
            <w:pPr>
              <w:pStyle w:val="TableText"/>
            </w:pPr>
            <w:r>
              <w:t>v_birth_source_delay_category_long</w:t>
            </w:r>
          </w:p>
        </w:tc>
        <w:tc>
          <w:tcPr>
            <w:tcW w:type="dxa" w:w="4760"/>
            <w:tcMar>
              <w:top w:w="80" w:type="dxa"/>
              <w:bottom w:w="80" w:type="dxa"/>
              <w:start w:w="120" w:type="dxa"/>
              <w:end w:w="120" w:type="dxa"/>
            </w:tcMar>
          </w:tcPr>
          <w:p>
            <w:pPr>
              <w:pStyle w:val="TableText"/>
            </w:pPr>
            <w:r>
              <w:t>t_delivery_source_first_report_native</w:t>
            </w:r>
          </w:p>
        </w:tc>
      </w:tr>
      <w:tr>
        <w:trPr>
          <w:cantSplit/>
        </w:trPr>
        <w:tc>
          <w:tcPr>
            <w:tcW w:type="dxa" w:w="4600"/>
            <w:tcMar>
              <w:top w:w="80" w:type="dxa"/>
              <w:bottom w:w="80" w:type="dxa"/>
              <w:start w:w="120" w:type="dxa"/>
              <w:end w:w="120" w:type="dxa"/>
            </w:tcMar>
          </w:tcPr>
          <w:p>
            <w:pPr>
              <w:pStyle w:val="TableText"/>
            </w:pPr>
            <w:r>
              <w:t>v_birth_source_performance_daily_long</w:t>
            </w:r>
          </w:p>
        </w:tc>
        <w:tc>
          <w:tcPr>
            <w:tcW w:type="dxa" w:w="4760"/>
            <w:tcMar>
              <w:top w:w="80" w:type="dxa"/>
              <w:bottom w:w="80" w:type="dxa"/>
              <w:start w:w="120" w:type="dxa"/>
              <w:end w:w="120" w:type="dxa"/>
            </w:tcMar>
          </w:tcPr>
          <w:p>
            <w:pPr>
              <w:pStyle w:val="TableText"/>
            </w:pPr>
            <w:r>
              <w:t>t_delivery_event_master_v3</w:t>
              <w:br/>
              <w:t>t_delivery_source_first_report_native</w:t>
            </w:r>
          </w:p>
        </w:tc>
      </w:tr>
      <w:tr>
        <w:trPr>
          <w:cantSplit/>
        </w:trPr>
        <w:tc>
          <w:tcPr>
            <w:tcW w:type="dxa" w:w="4600"/>
            <w:tcMar>
              <w:top w:w="80" w:type="dxa"/>
              <w:bottom w:w="80" w:type="dxa"/>
              <w:start w:w="120" w:type="dxa"/>
              <w:end w:w="120" w:type="dxa"/>
            </w:tcMar>
          </w:tcPr>
          <w:p>
            <w:pPr>
              <w:pStyle w:val="TableText"/>
            </w:pPr>
            <w:r>
              <w:t>v_birth_source_performance_wide</w:t>
            </w:r>
          </w:p>
        </w:tc>
        <w:tc>
          <w:tcPr>
            <w:tcW w:type="dxa" w:w="4760"/>
            <w:tcMar>
              <w:top w:w="80" w:type="dxa"/>
              <w:bottom w:w="80" w:type="dxa"/>
              <w:start w:w="120" w:type="dxa"/>
              <w:end w:w="120" w:type="dxa"/>
            </w:tcMar>
          </w:tcPr>
          <w:p>
            <w:pPr>
              <w:pStyle w:val="TableText"/>
            </w:pPr>
            <w:r>
              <w:t>v_birth_source_performance_daily_long</w:t>
            </w:r>
          </w:p>
        </w:tc>
      </w:tr>
      <w:tr>
        <w:trPr>
          <w:cantSplit/>
        </w:trPr>
        <w:tc>
          <w:tcPr>
            <w:tcW w:type="dxa" w:w="4600"/>
            <w:tcMar>
              <w:top w:w="80" w:type="dxa"/>
              <w:bottom w:w="80" w:type="dxa"/>
              <w:start w:w="120" w:type="dxa"/>
              <w:end w:w="120" w:type="dxa"/>
            </w:tcMar>
          </w:tcPr>
          <w:p>
            <w:pPr>
              <w:pStyle w:val="TableText"/>
            </w:pPr>
            <w:r>
              <w:t>v_birth_source_export_observations</w:t>
            </w:r>
          </w:p>
        </w:tc>
        <w:tc>
          <w:tcPr>
            <w:tcW w:type="dxa" w:w="4760"/>
            <w:tcMar>
              <w:top w:w="80" w:type="dxa"/>
              <w:bottom w:w="80" w:type="dxa"/>
              <w:start w:w="120" w:type="dxa"/>
              <w:end w:w="120" w:type="dxa"/>
            </w:tcMar>
          </w:tcPr>
          <w:p>
            <w:pPr>
              <w:pStyle w:val="TableText"/>
            </w:pPr>
            <w:r>
              <w:t>raw_data.epus_inc</w:t>
              <w:br/>
              <w:t>raw_data.sigizi_daftar_ibu</w:t>
              <w:br/>
              <w:t>raw_data.sigizi_ibu_nifas</w:t>
              <w:br/>
              <w:t>raw_data.sigizi_kohort_ibu</w:t>
            </w:r>
          </w:p>
        </w:tc>
      </w:tr>
      <w:tr>
        <w:trPr>
          <w:cantSplit/>
        </w:trPr>
        <w:tc>
          <w:tcPr>
            <w:tcW w:type="dxa" w:w="4600"/>
            <w:tcMar>
              <w:top w:w="80" w:type="dxa"/>
              <w:bottom w:w="80" w:type="dxa"/>
              <w:start w:w="120" w:type="dxa"/>
              <w:end w:w="120" w:type="dxa"/>
            </w:tcMar>
          </w:tcPr>
          <w:p>
            <w:pPr>
              <w:pStyle w:val="TableText"/>
            </w:pPr>
            <w:r>
              <w:t>v_birth_reporting_timeliness</w:t>
            </w:r>
          </w:p>
        </w:tc>
        <w:tc>
          <w:tcPr>
            <w:tcW w:type="dxa" w:w="4760"/>
            <w:tcMar>
              <w:top w:w="80" w:type="dxa"/>
              <w:bottom w:w="80" w:type="dxa"/>
              <w:start w:w="120" w:type="dxa"/>
              <w:end w:w="120" w:type="dxa"/>
            </w:tcMar>
          </w:tcPr>
          <w:p>
            <w:pPr>
              <w:pStyle w:val="TableText"/>
            </w:pPr>
            <w:r>
              <w:t>v_pregnancy_monitoring_integrated</w:t>
              <w:br/>
              <w:t>raw_data.epus_inc</w:t>
              <w:br/>
              <w:t>raw_data.sigizi_daftar_ibu</w:t>
              <w:br/>
              <w:t>raw_data.sigizi_ibu_nifas</w:t>
              <w:br/>
              <w:t>raw_data.sigizi_kohort_ibu</w:t>
            </w:r>
          </w:p>
        </w:tc>
      </w:tr>
      <w:tr>
        <w:trPr>
          <w:cantSplit/>
        </w:trPr>
        <w:tc>
          <w:tcPr>
            <w:tcW w:type="dxa" w:w="4600"/>
            <w:tcMar>
              <w:top w:w="80" w:type="dxa"/>
              <w:bottom w:w="80" w:type="dxa"/>
              <w:start w:w="120" w:type="dxa"/>
              <w:end w:w="120" w:type="dxa"/>
            </w:tcMar>
          </w:tcPr>
          <w:p>
            <w:pPr>
              <w:pStyle w:val="TableText"/>
            </w:pPr>
            <w:r>
              <w:t>v_birth_reporting_timeliness_dashboard</w:t>
            </w:r>
          </w:p>
        </w:tc>
        <w:tc>
          <w:tcPr>
            <w:tcW w:type="dxa" w:w="4760"/>
            <w:tcMar>
              <w:top w:w="80" w:type="dxa"/>
              <w:bottom w:w="80" w:type="dxa"/>
              <w:start w:w="120" w:type="dxa"/>
              <w:end w:w="120" w:type="dxa"/>
            </w:tcMar>
          </w:tcPr>
          <w:p>
            <w:pPr>
              <w:pStyle w:val="TableText"/>
            </w:pPr>
            <w:r>
              <w:t>v_birth_reporting_timeliness</w:t>
            </w:r>
          </w:p>
        </w:tc>
      </w:tr>
      <w:tr>
        <w:trPr>
          <w:cantSplit/>
        </w:trPr>
        <w:tc>
          <w:tcPr>
            <w:tcW w:type="dxa" w:w="4600"/>
            <w:tcMar>
              <w:top w:w="80" w:type="dxa"/>
              <w:bottom w:w="80" w:type="dxa"/>
              <w:start w:w="120" w:type="dxa"/>
              <w:end w:w="120" w:type="dxa"/>
            </w:tcMar>
          </w:tcPr>
          <w:p>
            <w:pPr>
              <w:pStyle w:val="TableText"/>
            </w:pPr>
            <w:r>
              <w:t>v_birth_reporting_timeliness_evidence</w:t>
            </w:r>
          </w:p>
        </w:tc>
        <w:tc>
          <w:tcPr>
            <w:tcW w:type="dxa" w:w="4760"/>
            <w:tcMar>
              <w:top w:w="80" w:type="dxa"/>
              <w:bottom w:w="80" w:type="dxa"/>
              <w:start w:w="120" w:type="dxa"/>
              <w:end w:w="120" w:type="dxa"/>
            </w:tcMar>
          </w:tcPr>
          <w:p>
            <w:pPr>
              <w:pStyle w:val="TableText"/>
            </w:pPr>
            <w:r>
              <w:t>v_birth_reporting_timeliness</w:t>
              <w:br/>
              <w:t>v_birth_source_export_observations</w:t>
            </w:r>
          </w:p>
        </w:tc>
      </w:tr>
      <w:tr>
        <w:trPr>
          <w:cantSplit/>
        </w:trPr>
        <w:tc>
          <w:tcPr>
            <w:tcW w:type="dxa" w:w="4600"/>
            <w:tcMar>
              <w:top w:w="80" w:type="dxa"/>
              <w:bottom w:w="80" w:type="dxa"/>
              <w:start w:w="120" w:type="dxa"/>
              <w:end w:w="120" w:type="dxa"/>
            </w:tcMar>
          </w:tcPr>
          <w:p>
            <w:pPr>
              <w:pStyle w:val="TableText"/>
            </w:pPr>
            <w:r>
              <w:t>v_simrs_birth_weight_normalized</w:t>
            </w:r>
          </w:p>
        </w:tc>
        <w:tc>
          <w:tcPr>
            <w:tcW w:type="dxa" w:w="4760"/>
            <w:tcMar>
              <w:top w:w="80" w:type="dxa"/>
              <w:bottom w:w="80" w:type="dxa"/>
              <w:start w:w="120" w:type="dxa"/>
              <w:end w:w="120" w:type="dxa"/>
            </w:tcMar>
          </w:tcPr>
          <w:p>
            <w:pPr>
              <w:pStyle w:val="TableText"/>
            </w:pPr>
            <w:r>
              <w:t>vs_simrs_patut_patuh_inc</w:t>
            </w:r>
          </w:p>
        </w:tc>
      </w:tr>
    </w:tbl>
    <w:p>
      <w:r>
        <w:t>The timeliness branches use different evidence paths. Export-observation views read upstream raw exports; the source-performance branch reads the materialized first-report table. Choose the reporting view according to the analysis being performed.</w:t>
      </w:r>
    </w:p>
    <w:p>
      <w:pPr>
        <w:pStyle w:val="Heading2"/>
        <w:pageBreakBefore/>
      </w:pPr>
      <w:r>
        <w:t>Appendix: source audit views and maintenance</w:t>
      </w:r>
    </w:p>
    <w:tbl>
      <w:tblPr>
        <w:tblStyle w:val="TableGrid"/>
        <w:tblW w:type="dxa" w:w="9360"/>
        <w:jc w:val="left"/>
        <w:tblLayout w:type="fixed"/>
        <w:tblLook w:firstColumn="1" w:firstRow="1" w:lastColumn="0" w:lastRow="0" w:noHBand="0" w:noVBand="1" w:val="04A0"/>
        <w:tblInd w:type="dxa" w:w="120"/>
      </w:tblPr>
      <w:tblGrid>
        <w:gridCol w:w="4600"/>
        <w:gridCol w:w="4760"/>
      </w:tblGrid>
      <w:tr>
        <w:trPr>
          <w:cantSplit/>
          <w:tblHeader/>
        </w:trPr>
        <w:tc>
          <w:tcPr>
            <w:tcW w:type="dxa" w:w="4600"/>
            <w:shd w:fill="F2F4F7"/>
            <w:tcMar>
              <w:top w:w="80" w:type="dxa"/>
              <w:bottom w:w="80" w:type="dxa"/>
              <w:start w:w="120" w:type="dxa"/>
              <w:end w:w="120" w:type="dxa"/>
            </w:tcMar>
          </w:tcPr>
          <w:p>
            <w:pPr>
              <w:pStyle w:val="TableText"/>
            </w:pPr>
            <w:r>
              <w:rPr>
                <w:b/>
              </w:rPr>
              <w:t>Reporting view</w:t>
            </w:r>
          </w:p>
        </w:tc>
        <w:tc>
          <w:tcPr>
            <w:tcW w:type="dxa" w:w="4760"/>
            <w:shd w:fill="F2F4F7"/>
            <w:tcMar>
              <w:top w:w="80" w:type="dxa"/>
              <w:bottom w:w="80" w:type="dxa"/>
              <w:start w:w="120" w:type="dxa"/>
              <w:end w:w="120" w:type="dxa"/>
            </w:tcMar>
          </w:tcPr>
          <w:p>
            <w:pPr>
              <w:pStyle w:val="TableText"/>
            </w:pPr>
            <w:r>
              <w:rPr>
                <w:b/>
              </w:rPr>
              <w:t>Direct inputs in its SELECT</w:t>
            </w:r>
          </w:p>
        </w:tc>
      </w:tr>
      <w:tr>
        <w:trPr>
          <w:cantSplit/>
        </w:trPr>
        <w:tc>
          <w:tcPr>
            <w:tcW w:type="dxa" w:w="4600"/>
            <w:tcMar>
              <w:top w:w="80" w:type="dxa"/>
              <w:bottom w:w="80" w:type="dxa"/>
              <w:start w:w="120" w:type="dxa"/>
              <w:end w:w="120" w:type="dxa"/>
            </w:tcMar>
          </w:tcPr>
          <w:p>
            <w:pPr>
              <w:pStyle w:val="TableText"/>
            </w:pPr>
            <w:r>
              <w:t>v_delivery_source_first_report_native</w:t>
            </w:r>
          </w:p>
        </w:tc>
        <w:tc>
          <w:tcPr>
            <w:tcW w:type="dxa" w:w="4760"/>
            <w:tcMar>
              <w:top w:w="80" w:type="dxa"/>
              <w:bottom w:w="80" w:type="dxa"/>
              <w:start w:w="120" w:type="dxa"/>
              <w:end w:w="120" w:type="dxa"/>
            </w:tcMar>
          </w:tcPr>
          <w:p>
            <w:pPr>
              <w:pStyle w:val="TableText"/>
            </w:pPr>
            <w:r>
              <w:t>birth_report_faskes.v_inc_report_tracker</w:t>
              <w:br/>
              <w:t>data_kobo_form.e-form_pencatatan_pelayanan_intranatal_care</w:t>
              <w:br/>
              <w:t>t_delivery_dedup_base</w:t>
              <w:br/>
              <w:t>t_delivery_event_master_v3</w:t>
              <w:br/>
              <w:t>t_delivery_event_member_map_v3</w:t>
              <w:br/>
              <w:t>t_epus_mother_records</w:t>
              <w:br/>
              <w:t>t_epus_pregnancy_master</w:t>
              <w:br/>
              <w:t>t_sigizi_source_records</w:t>
              <w:br/>
              <w:t>vs_kobo_inc_case_master</w:t>
              <w:br/>
              <w:t>vs_kobo_neonatus_outcome_v2_baby</w:t>
              <w:br/>
              <w:t>vs_simrs_patut_patuh_inc</w:t>
            </w:r>
          </w:p>
        </w:tc>
      </w:tr>
      <w:tr>
        <w:trPr>
          <w:cantSplit/>
        </w:trPr>
        <w:tc>
          <w:tcPr>
            <w:tcW w:type="dxa" w:w="4600"/>
            <w:tcMar>
              <w:top w:w="80" w:type="dxa"/>
              <w:bottom w:w="80" w:type="dxa"/>
              <w:start w:w="120" w:type="dxa"/>
              <w:end w:w="120" w:type="dxa"/>
            </w:tcMar>
          </w:tcPr>
          <w:p>
            <w:pPr>
              <w:pStyle w:val="TableText"/>
            </w:pPr>
            <w:r>
              <w:t>v_birth_weight_observations</w:t>
            </w:r>
          </w:p>
        </w:tc>
        <w:tc>
          <w:tcPr>
            <w:tcW w:type="dxa" w:w="4760"/>
            <w:tcMar>
              <w:top w:w="80" w:type="dxa"/>
              <w:bottom w:w="80" w:type="dxa"/>
              <w:start w:w="120" w:type="dxa"/>
              <w:end w:w="120" w:type="dxa"/>
            </w:tcMar>
          </w:tcPr>
          <w:p>
            <w:pPr>
              <w:pStyle w:val="TableText"/>
            </w:pPr>
            <w:r>
              <w:t>birth_report_faskes.birth_fu_faskes</w:t>
              <w:br/>
              <w:t>t_delivery_dedup_base</w:t>
              <w:br/>
              <w:t>t_delivery_event_member_map_v3</w:t>
              <w:br/>
              <w:t>t_epus_pregnancy_master</w:t>
              <w:br/>
              <w:t>vs_kobo_inc_case_master</w:t>
              <w:br/>
              <w:t>vs_simrs_patut_patuh_inc</w:t>
            </w:r>
          </w:p>
        </w:tc>
      </w:tr>
      <w:tr>
        <w:trPr>
          <w:cantSplit/>
        </w:trPr>
        <w:tc>
          <w:tcPr>
            <w:tcW w:type="dxa" w:w="4600"/>
            <w:tcMar>
              <w:top w:w="80" w:type="dxa"/>
              <w:bottom w:w="80" w:type="dxa"/>
              <w:start w:w="120" w:type="dxa"/>
              <w:end w:w="120" w:type="dxa"/>
            </w:tcMar>
          </w:tcPr>
          <w:p>
            <w:pPr>
              <w:pStyle w:val="TableText"/>
            </w:pPr>
            <w:r>
              <w:t>v_birth_weight_source_audit</w:t>
            </w:r>
          </w:p>
        </w:tc>
        <w:tc>
          <w:tcPr>
            <w:tcW w:type="dxa" w:w="4760"/>
            <w:tcMar>
              <w:top w:w="80" w:type="dxa"/>
              <w:bottom w:w="80" w:type="dxa"/>
              <w:start w:w="120" w:type="dxa"/>
              <w:end w:w="120" w:type="dxa"/>
            </w:tcMar>
          </w:tcPr>
          <w:p>
            <w:pPr>
              <w:pStyle w:val="TableText"/>
            </w:pPr>
            <w:r>
              <w:t>birth_report_faskes.birth_fu_faskes</w:t>
              <w:br/>
              <w:t>t_delivery_dedup_base</w:t>
              <w:br/>
              <w:t>t_delivery_event_master_v3</w:t>
              <w:br/>
              <w:t>t_delivery_event_member_map_v3</w:t>
              <w:br/>
              <w:t>t_epus_pregnancy_master</w:t>
              <w:br/>
              <w:t>vs_kobo_inc_case_master</w:t>
              <w:br/>
              <w:t>vs_simrs_patut_patuh_inc</w:t>
            </w:r>
          </w:p>
        </w:tc>
      </w:tr>
    </w:tbl>
    <w:p>
      <w:r>
        <w:t>v_delivery_source_first_report_native has its own multi-source SELECT. It is not a simple alias of t_delivery_source_first_report_native. Birth-weight observation/audit views also read source evidence and the final delivery member map, so their row grain needs to be checked before using them as delivery totals.</w:t>
      </w:r>
    </w:p>
    <w:p>
      <w:pPr>
        <w:pStyle w:val="Heading2"/>
      </w:pPr>
      <w:r>
        <w:t>Refresh and rule maintenance</w:t>
      </w:r>
    </w:p>
    <w:p>
      <w:r>
        <w:t>Finish each dependency before starting its consumers and stop on failure. Raw deletion exports must finish loading before SIGIZI source preparation. The deletion gate and geography correction must complete before SIGIZI episodes are refreshed. Keep SQL, references and reporting contracts under version control.</w:t>
      </w:r>
    </w:p>
    <w:p>
      <w:r>
        <w:t>Validate source exclusion, audit reconciliation, downstream source membership, unique canonical IDs, accepted-link conflicts, geography and reporting schemas. Compare affected source evidence when a rule changes. Deterministic selection is repeatable, but is not proof of a correct match.</w:t>
      </w:r>
    </w:p>
    <w:p>
      <w:pPr>
        <w:pStyle w:val="Heading2"/>
      </w:pPr>
      <w:r>
        <w:t>Implementation boundary</w:t>
      </w:r>
    </w:p>
    <w:p>
      <w:r>
        <w:t>This guide describes the repository SQL, including the restored SIGIZI deletion gate. Raw ingestion schedules and the external facility tracker build remain outside this repository. Local matching regression checks passed; the supplied BigQuery-native tests and live-data validations must be run in the approved environment. This revision does not certify BigQuery deployment or clinical adjudication.</w:t>
      </w:r>
    </w:p>
    <w:p>
      <w:pPr>
        <w:pStyle w:val="Heading2"/>
        <w:pageBreakBefore/>
      </w:pPr>
      <w:r>
        <w:t>Appendix: deploying and scheduling the deletion update</w:t>
      </w:r>
    </w:p>
    <w:p>
      <w:pPr>
        <w:pageBreakBefore w:val="0"/>
      </w:pPr>
      <w:r>
        <w:t>Running the new SQL once does not update a saved BigQuery schedule. The old source builder also replaces t_sigizi_source_records and can reintroduce excluded records on its next run. Save its previous text for rollback and replace the existing scheduled query, rather than adding a competing source job.</w:t>
      </w:r>
    </w:p>
    <w:tbl>
      <w:tblPr>
        <w:tblStyle w:val="TableGrid"/>
        <w:tblW w:type="dxa" w:w="9360"/>
        <w:tblLayout w:type="fixed"/>
        <w:tblLook w:firstColumn="1" w:firstRow="1" w:lastColumn="0" w:lastRow="0" w:noHBand="0" w:noVBand="1" w:val="04A0"/>
        <w:tblInd w:type="dxa" w:w="120"/>
        <w:tblCellMar>
          <w:top w:w="90" w:type="dxa"/>
          <w:bottom w:w="90" w:type="dxa"/>
          <w:left w:w="120" w:type="dxa"/>
          <w:right w:w="120" w:type="dxa"/>
        </w:tblCellMar>
      </w:tblPr>
      <w:tblGrid>
        <w:gridCol w:w="2300"/>
        <w:gridCol w:w="7060"/>
      </w:tblGrid>
      <w:tr>
        <w:trPr>
          <w:tblHeader/>
        </w:trPr>
        <w:tc>
          <w:tcPr>
            <w:tcW w:type="dxa" w:w="2300"/>
            <w:shd w:fill="E8EFF8"/>
          </w:tcPr>
          <w:p>
            <w:pPr>
              <w:pStyle w:val="TableText"/>
              <w:spacing w:after="60" w:before="60"/>
            </w:pPr>
            <w:r>
              <w:rPr>
                <w:b/>
              </w:rPr>
              <w:t>When</w:t>
            </w:r>
          </w:p>
        </w:tc>
        <w:tc>
          <w:tcPr>
            <w:tcW w:type="dxa" w:w="7060"/>
            <w:shd w:fill="E8EFF8"/>
          </w:tcPr>
          <w:p>
            <w:pPr>
              <w:pStyle w:val="TableText"/>
              <w:spacing w:after="60" w:before="60"/>
            </w:pPr>
            <w:r>
              <w:rPr>
                <w:b/>
              </w:rPr>
              <w:t>Action</w:t>
            </w:r>
          </w:p>
        </w:tc>
      </w:tr>
      <w:tr>
        <w:tc>
          <w:tcPr>
            <w:tcW w:type="dxa" w:w="2300"/>
          </w:tcPr>
          <w:p>
            <w:pPr>
              <w:pStyle w:val="TableText"/>
              <w:spacing w:after="60" w:before="60"/>
            </w:pPr>
            <w:r>
              <w:t>Before deployment</w:t>
            </w:r>
          </w:p>
        </w:tc>
        <w:tc>
          <w:tcPr>
            <w:tcW w:type="dxa" w:w="7060"/>
          </w:tcPr>
          <w:p>
            <w:pPr>
              <w:pStyle w:val="TableText"/>
              <w:spacing w:after="60" w:before="60"/>
            </w:pPr>
            <w:r>
              <w:t>Pause overlapping refreshes and preserve approved rollback copies. Confirm the raw deletion registry is available.</w:t>
            </w:r>
          </w:p>
        </w:tc>
      </w:tr>
      <w:tr>
        <w:tc>
          <w:tcPr>
            <w:tcW w:type="dxa" w:w="2300"/>
          </w:tcPr>
          <w:p>
            <w:pPr>
              <w:pStyle w:val="TableText"/>
              <w:spacing w:after="60" w:before="60"/>
            </w:pPr>
            <w:r>
              <w:t>One-time setup</w:t>
            </w:r>
          </w:p>
        </w:tc>
        <w:tc>
          <w:tcPr>
            <w:tcW w:type="dxa" w:w="7060"/>
          </w:tcPr>
          <w:p>
            <w:pPr>
              <w:pStyle w:val="TableText"/>
              <w:spacing w:after="60" w:before="60"/>
            </w:pPr>
            <w:r>
              <w:t>Run 01a_sigizi_deleted_registry.sql and the synthetic deletion regression script.</w:t>
            </w:r>
          </w:p>
        </w:tc>
      </w:tr>
      <w:tr>
        <w:tc>
          <w:tcPr>
            <w:tcW w:type="dxa" w:w="2300"/>
          </w:tcPr>
          <w:p>
            <w:pPr>
              <w:pStyle w:val="TableText"/>
              <w:spacing w:after="60" w:before="60"/>
            </w:pPr>
            <w:r>
              <w:t>Existing source schedule</w:t>
            </w:r>
          </w:p>
        </w:tc>
        <w:tc>
          <w:tcPr>
            <w:tcW w:type="dxa" w:w="7060"/>
          </w:tcPr>
          <w:p>
            <w:pPr>
              <w:pStyle w:val="TableText"/>
              <w:spacing w:after="60" w:before="60"/>
            </w:pPr>
            <w:r>
              <w:t>Replace its full query text with the updated 03_sigizi_source.sql. Retain the approved execution identity and processing location.</w:t>
            </w:r>
          </w:p>
        </w:tc>
      </w:tr>
      <w:tr>
        <w:tc>
          <w:tcPr>
            <w:tcW w:type="dxa" w:w="2300"/>
          </w:tcPr>
          <w:p>
            <w:pPr>
              <w:pStyle w:val="TableText"/>
              <w:spacing w:after="60" w:before="60"/>
            </w:pPr>
            <w:r>
              <w:t>Each source refresh</w:t>
            </w:r>
          </w:p>
        </w:tc>
        <w:tc>
          <w:tcPr>
            <w:tcW w:type="dxa" w:w="7060"/>
          </w:tcPr>
          <w:p>
            <w:pPr>
              <w:pStyle w:val="TableText"/>
              <w:spacing w:after="60" w:before="60"/>
            </w:pPr>
            <w:r>
              <w:t>Finish raw clinical and deletion ingestion; run updated 03, then unchanged 03a geography, then 91 deletion checks.</w:t>
            </w:r>
          </w:p>
        </w:tc>
      </w:tr>
      <w:tr>
        <w:tc>
          <w:tcPr>
            <w:tcW w:type="dxa" w:w="2300"/>
          </w:tcPr>
          <w:p>
            <w:pPr>
              <w:pStyle w:val="TableText"/>
              <w:spacing w:after="60" w:before="60"/>
            </w:pPr>
            <w:r>
              <w:t>Downstream refresh</w:t>
            </w:r>
          </w:p>
        </w:tc>
        <w:tc>
          <w:tcPr>
            <w:tcW w:type="dxa" w:w="7060"/>
          </w:tcPr>
          <w:p>
            <w:pPr>
              <w:pStyle w:val="TableText"/>
              <w:spacing w:after="60" w:before="60"/>
            </w:pPr>
            <w:r>
              <w:t>Rebuild the existing Independent Core sequence. Run 92 downstream deletion checks and the existing integrity/reporting checks.</w:t>
            </w:r>
          </w:p>
        </w:tc>
      </w:tr>
      <w:tr>
        <w:tc>
          <w:tcPr>
            <w:tcW w:type="dxa" w:w="2300"/>
          </w:tcPr>
          <w:p>
            <w:pPr>
              <w:pStyle w:val="TableText"/>
              <w:spacing w:after="60" w:before="60"/>
            </w:pPr>
            <w:r>
              <w:t>View maintenance</w:t>
            </w:r>
          </w:p>
        </w:tc>
        <w:tc>
          <w:tcPr>
            <w:tcW w:type="dxa" w:w="7060"/>
          </w:tcPr>
          <w:p>
            <w:pPr>
              <w:pStyle w:val="TableText"/>
              <w:spacing w:after="60" w:before="60"/>
            </w:pPr>
            <w:r>
              <w:t>No daily recreation of the deletion or reporting views is required solely for refreshed underlying data.</w:t>
            </w:r>
          </w:p>
        </w:tc>
      </w:tr>
    </w:tbl>
    <w:p>
      <w:pPr>
        <w:pStyle w:val="CaptionText"/>
        <w:pageBreakBefore w:val="0"/>
      </w:pPr>
      <w:r>
        <w:t>The Independent Core definitions do not need rewriting for this source gate, but their stored tables must be rebuilt. Retain EPUS preparation and adapter jobs when EPUS inputs also refresh. Jobs must wait for successful dependencies; fixed clock offsets alone do not enforce this.</w:t>
      </w:r>
    </w:p>
    <w:p>
      <w:pPr>
        <w:pStyle w:val="CaptionText"/>
        <w:pageBreakBefore w:val="0"/>
      </w:pPr>
      <w:r>
        <w:t>In BigQuery, open the existing schedule, select Edit, replace the SQL, then choose Schedule query &gt; Update scheduled query. Repository commits do not update BigQuery jobs automatically.</w:t>
      </w:r>
    </w:p>
    <w:p>
      <w:pPr>
        <w:pStyle w:val="Heading2"/>
        <w:pageBreakBefore/>
      </w:pPr>
      <w:r>
        <w:t>Appendix: deletion audit and unresolved evidence</w:t>
      </w:r>
    </w:p>
    <w:tbl>
      <w:tblPr>
        <w:tblStyle w:val="TableGrid"/>
        <w:tblW w:type="dxa" w:w="9360"/>
        <w:tblLayout w:type="fixed"/>
        <w:tblLook w:firstColumn="1" w:firstRow="1" w:lastColumn="0" w:lastRow="0" w:noHBand="0" w:noVBand="1" w:val="04A0"/>
        <w:tblInd w:type="dxa" w:w="120"/>
        <w:tblCellMar>
          <w:top w:w="90" w:type="dxa"/>
          <w:bottom w:w="90" w:type="dxa"/>
          <w:left w:w="120" w:type="dxa"/>
          <w:right w:w="120" w:type="dxa"/>
        </w:tblCellMar>
      </w:tblPr>
      <w:tblGrid>
        <w:gridCol w:w="4100"/>
        <w:gridCol w:w="5260"/>
      </w:tblGrid>
      <w:tr>
        <w:trPr>
          <w:tblHeader/>
        </w:trPr>
        <w:tc>
          <w:tcPr>
            <w:tcW w:type="dxa" w:w="4100"/>
            <w:shd w:fill="E8EFF8"/>
          </w:tcPr>
          <w:p>
            <w:pPr>
              <w:pStyle w:val="TableText"/>
              <w:spacing w:after="60" w:before="60"/>
            </w:pPr>
            <w:r>
              <w:rPr>
                <w:b/>
              </w:rPr>
              <w:t>Object</w:t>
            </w:r>
          </w:p>
        </w:tc>
        <w:tc>
          <w:tcPr>
            <w:tcW w:type="dxa" w:w="5260"/>
            <w:shd w:fill="E8EFF8"/>
          </w:tcPr>
          <w:p>
            <w:pPr>
              <w:pStyle w:val="TableText"/>
              <w:spacing w:after="60" w:before="60"/>
            </w:pPr>
            <w:r>
              <w:rPr>
                <w:b/>
              </w:rPr>
              <w:t>Meaning</w:t>
            </w:r>
          </w:p>
        </w:tc>
      </w:tr>
      <w:tr>
        <w:tc>
          <w:tcPr>
            <w:tcW w:type="dxa" w:w="4100"/>
          </w:tcPr>
          <w:p>
            <w:pPr>
              <w:pStyle w:val="TableText"/>
              <w:spacing w:after="60" w:before="60"/>
            </w:pPr>
            <w:r>
              <w:t>vs_sigizi_bumil_hapus</w:t>
            </w:r>
          </w:p>
        </w:tc>
        <w:tc>
          <w:tcPr>
            <w:tcW w:type="dxa" w:w="5260"/>
          </w:tcPr>
          <w:p>
            <w:pPr>
              <w:pStyle w:val="TableText"/>
              <w:spacing w:after="60" w:before="60"/>
            </w:pPr>
            <w:r>
              <w:t>Parsed, deduplicated deletion reference read from raw_data.sigizi_bumil_hapus_new.</w:t>
            </w:r>
          </w:p>
        </w:tc>
      </w:tr>
      <w:tr>
        <w:tc>
          <w:tcPr>
            <w:tcW w:type="dxa" w:w="4100"/>
          </w:tcPr>
          <w:p>
            <w:pPr>
              <w:pStyle w:val="TableText"/>
              <w:spacing w:after="60" w:before="60"/>
            </w:pPr>
            <w:r>
              <w:t>t_sigizi_deletion_exclusion_audit</w:t>
            </w:r>
          </w:p>
        </w:tc>
        <w:tc>
          <w:tcPr>
            <w:tcW w:type="dxa" w:w="5260"/>
          </w:tcPr>
          <w:p>
            <w:pPr>
              <w:pStyle w:val="TableText"/>
              <w:spacing w:after="60" w:before="60"/>
            </w:pPr>
            <w:r>
              <w:t>Excluded source rows, original payload, anchor method, matching registry references and run identity.</w:t>
            </w:r>
          </w:p>
        </w:tc>
      </w:tr>
      <w:tr>
        <w:tc>
          <w:tcPr>
            <w:tcW w:type="dxa" w:w="4100"/>
          </w:tcPr>
          <w:p>
            <w:pPr>
              <w:pStyle w:val="TableText"/>
              <w:spacing w:after="60" w:before="60"/>
            </w:pPr>
            <w:r>
              <w:t>t_sigizi_deletion_exclusion_summary</w:t>
            </w:r>
          </w:p>
        </w:tc>
        <w:tc>
          <w:tcPr>
            <w:tcW w:type="dxa" w:w="5260"/>
          </w:tcPr>
          <w:p>
            <w:pPr>
              <w:pStyle w:val="TableText"/>
              <w:spacing w:after="60" w:before="60"/>
            </w:pPr>
            <w:r>
              <w:t>Latest-run reconciliation of input, excluded, retained and unresolved source records.</w:t>
            </w:r>
          </w:p>
        </w:tc>
      </w:tr>
    </w:tbl>
    <w:p>
      <w:pPr>
        <w:pageBreakBefore w:val="0"/>
      </w:pPr>
      <w:r>
        <w:t>The audit and summary are replaced on each build; they are not append-only history. Retain historical deletion notices upstream and archive audit snapshots inside the approved environment if historical review is required. No raw patient record is physically deleted by this exclusion step.</w:t>
      </w:r>
    </w:p>
    <w:p>
      <w:pPr>
        <w:pageBreakBefore w:val="0"/>
      </w:pPr>
      <w:r>
        <w:t>A registry row without HPHT cannot trigger an exact pregnancy exclusion. A source record without HPHT or usable HPL, or without sufficient identity, remains unmatched unless another registry entry qualifies. Do not convert these gaps into a mother-wide blacklist. Restored/reinstated records would require an explicit approved rule; the current gate treats registry membership as deletion evidence.</w:t>
      </w:r>
    </w:p>
    <w:p>
      <w:pPr>
        <w:pageBreakBefore w:val="0"/>
      </w:pPr>
      <w:r>
        <w:t>The production builder uses HPHT first, otherwise HPL minus 280 days. Name-only matching is never sufficient. The exact-name fallback also requires maternal birth date and matching pregnancy anchor, and is blocked if both usable NIKs disagree.</w:t>
      </w:r>
    </w:p>
    <w:p>
      <w:pPr>
        <w:pageBreakBefore w:val="0"/>
      </w:pPr>
      <w:r>
        <w:t>Run 91_sigizi_deletion_checks.sql after source and geography preparation to detect active matches and reconcile the audit. Run 92_sigizi_deletion_downstream_checks.sql after core rebuilding to detect excluded references still present in SIGIZI episode members or outcome evidence. The episode-ID check is conservative because the membership array does not qualify IDs by source table.</w:t>
      </w:r>
    </w:p>
    <w:p>
      <w:pPr>
        <w:pageBreakBefore w:val="0"/>
      </w:pPr>
      <w:r>
        <w:t>Multi-statement source publishing is not an atomic transaction across the full pipeline. If a statement fails, the audit, source and summary may represent different states. Stop downstream work, resolve the error and rerun the complete source builder before continuing.</w:t>
      </w:r>
    </w:p>
    <w:p>
      <w:pPr>
        <w:pStyle w:val="CaptionText"/>
        <w:pageBreakBefore w:val="0"/>
      </w:pPr>
      <w:r>
        <w:t>Traceability: locate an excluded source row by source_table and source_record_id in the exclusion audit; inspect its deletion_matches array, pregnancy anchor and match rule. Keep patient-level diagnostics and registry exports out of GitHub.</w:t>
      </w:r>
    </w:p>
    <w:p>
      <w:pPr>
        <w:pStyle w:val="Heading2"/>
        <w:pageBreakBefore/>
      </w:pPr>
      <w:r>
        <w:t>Appendix: exact raw-source and entry-view pairs</w:t>
      </w:r>
    </w:p>
    <w:p>
      <w:pPr>
        <w:pStyle w:val="CaptionText"/>
      </w:pPr>
      <w:r>
        <w:t>All objects belong to spheres-lombok-barat. Cleaning views are in kohort_bumil_v3 unless another dataset is written. Each row expands a connection within a source group in the diagrams.</w:t>
      </w:r>
    </w:p>
    <w:tbl>
      <w:tblPr>
        <w:tblStyle w:val="TableGrid"/>
        <w:tblW w:type="dxa" w:w="9360"/>
        <w:jc w:val="left"/>
        <w:tblLayout w:type="fixed"/>
        <w:tblLook w:firstColumn="1" w:firstRow="1" w:lastColumn="0" w:lastRow="0" w:noHBand="0" w:noVBand="1" w:val="04A0"/>
        <w:tblInd w:type="dxa" w:w="120"/>
      </w:tblPr>
      <w:tblGrid>
        <w:gridCol w:w="4680"/>
        <w:gridCol w:w="4680"/>
      </w:tblGrid>
      <w:tr>
        <w:trPr>
          <w:cantSplit/>
          <w:tblHeader/>
        </w:trPr>
        <w:tc>
          <w:tcPr>
            <w:tcW w:type="dxa" w:w="4680"/>
            <w:shd w:fill="F2F4F7"/>
            <w:tcMar>
              <w:top w:w="80" w:type="dxa"/>
              <w:bottom w:w="80" w:type="dxa"/>
              <w:start w:w="120" w:type="dxa"/>
              <w:end w:w="120" w:type="dxa"/>
            </w:tcMar>
          </w:tcPr>
          <w:p>
            <w:pPr>
              <w:pStyle w:val="TableText"/>
            </w:pPr>
            <w:r>
              <w:rPr>
                <w:b/>
              </w:rPr>
              <w:t>SIGIZI source in raw_data</w:t>
            </w:r>
          </w:p>
        </w:tc>
        <w:tc>
          <w:tcPr>
            <w:tcW w:type="dxa" w:w="4680"/>
            <w:shd w:fill="F2F4F7"/>
            <w:tcMar>
              <w:top w:w="80" w:type="dxa"/>
              <w:bottom w:w="80" w:type="dxa"/>
              <w:start w:w="120" w:type="dxa"/>
              <w:end w:w="120" w:type="dxa"/>
            </w:tcMar>
          </w:tcPr>
          <w:p>
            <w:pPr>
              <w:pStyle w:val="TableText"/>
            </w:pPr>
            <w:r>
              <w:rPr>
                <w:b/>
              </w:rPr>
              <w:t>Cleaning view</w:t>
            </w:r>
          </w:p>
        </w:tc>
      </w:tr>
      <w:tr>
        <w:trPr>
          <w:cantSplit/>
        </w:trPr>
        <w:tc>
          <w:tcPr>
            <w:tcW w:type="dxa" w:w="4680"/>
            <w:tcMar>
              <w:top w:w="80" w:type="dxa"/>
              <w:bottom w:w="80" w:type="dxa"/>
              <w:start w:w="120" w:type="dxa"/>
              <w:end w:w="120" w:type="dxa"/>
            </w:tcMar>
          </w:tcPr>
          <w:p>
            <w:pPr>
              <w:pStyle w:val="TableText"/>
            </w:pPr>
            <w:r>
              <w:t>sigizi_kesga_bumil_anc</w:t>
            </w:r>
          </w:p>
        </w:tc>
        <w:tc>
          <w:tcPr>
            <w:tcW w:type="dxa" w:w="4680"/>
            <w:tcMar>
              <w:top w:w="80" w:type="dxa"/>
              <w:bottom w:w="80" w:type="dxa"/>
              <w:start w:w="120" w:type="dxa"/>
              <w:end w:w="120" w:type="dxa"/>
            </w:tcMar>
          </w:tcPr>
          <w:p>
            <w:pPr>
              <w:pStyle w:val="TableText"/>
            </w:pPr>
            <w:r>
              <w:t>vs_sigizi_anc</w:t>
            </w:r>
          </w:p>
        </w:tc>
      </w:tr>
      <w:tr>
        <w:trPr>
          <w:cantSplit/>
        </w:trPr>
        <w:tc>
          <w:tcPr>
            <w:tcW w:type="dxa" w:w="4680"/>
            <w:tcMar>
              <w:top w:w="80" w:type="dxa"/>
              <w:bottom w:w="80" w:type="dxa"/>
              <w:start w:w="120" w:type="dxa"/>
              <w:end w:w="120" w:type="dxa"/>
            </w:tcMar>
          </w:tcPr>
          <w:p>
            <w:pPr>
              <w:pStyle w:val="TableText"/>
            </w:pPr>
            <w:r>
              <w:t>sigizi_daftar_ibu</w:t>
            </w:r>
          </w:p>
        </w:tc>
        <w:tc>
          <w:tcPr>
            <w:tcW w:type="dxa" w:w="4680"/>
            <w:tcMar>
              <w:top w:w="80" w:type="dxa"/>
              <w:bottom w:w="80" w:type="dxa"/>
              <w:start w:w="120" w:type="dxa"/>
              <w:end w:w="120" w:type="dxa"/>
            </w:tcMar>
          </w:tcPr>
          <w:p>
            <w:pPr>
              <w:pStyle w:val="TableText"/>
            </w:pPr>
            <w:r>
              <w:t>vs_sigizi_daftar_ibu</w:t>
            </w:r>
          </w:p>
        </w:tc>
      </w:tr>
      <w:tr>
        <w:trPr>
          <w:cantSplit/>
        </w:trPr>
        <w:tc>
          <w:tcPr>
            <w:tcW w:type="dxa" w:w="4680"/>
            <w:tcMar>
              <w:top w:w="80" w:type="dxa"/>
              <w:bottom w:w="80" w:type="dxa"/>
              <w:start w:w="120" w:type="dxa"/>
              <w:end w:w="120" w:type="dxa"/>
            </w:tcMar>
          </w:tcPr>
          <w:p>
            <w:pPr>
              <w:pStyle w:val="TableText"/>
            </w:pPr>
            <w:r>
              <w:t>sigizi_daftar_ibu_hamil</w:t>
            </w:r>
          </w:p>
        </w:tc>
        <w:tc>
          <w:tcPr>
            <w:tcW w:type="dxa" w:w="4680"/>
            <w:tcMar>
              <w:top w:w="80" w:type="dxa"/>
              <w:bottom w:w="80" w:type="dxa"/>
              <w:start w:w="120" w:type="dxa"/>
              <w:end w:w="120" w:type="dxa"/>
            </w:tcMar>
          </w:tcPr>
          <w:p>
            <w:pPr>
              <w:pStyle w:val="TableText"/>
            </w:pPr>
            <w:r>
              <w:t>vs_sigizi_daftar_ibu_hamil</w:t>
            </w:r>
          </w:p>
        </w:tc>
      </w:tr>
      <w:tr>
        <w:trPr>
          <w:cantSplit/>
        </w:trPr>
        <w:tc>
          <w:tcPr>
            <w:tcW w:type="dxa" w:w="4680"/>
            <w:tcMar>
              <w:top w:w="80" w:type="dxa"/>
              <w:bottom w:w="80" w:type="dxa"/>
              <w:start w:w="120" w:type="dxa"/>
              <w:end w:w="120" w:type="dxa"/>
            </w:tcMar>
          </w:tcPr>
          <w:p>
            <w:pPr>
              <w:pStyle w:val="TableText"/>
            </w:pPr>
            <w:r>
              <w:t>sigizi_kohort_ibu</w:t>
            </w:r>
          </w:p>
        </w:tc>
        <w:tc>
          <w:tcPr>
            <w:tcW w:type="dxa" w:w="4680"/>
            <w:tcMar>
              <w:top w:w="80" w:type="dxa"/>
              <w:bottom w:w="80" w:type="dxa"/>
              <w:start w:w="120" w:type="dxa"/>
              <w:end w:w="120" w:type="dxa"/>
            </w:tcMar>
          </w:tcPr>
          <w:p>
            <w:pPr>
              <w:pStyle w:val="TableText"/>
            </w:pPr>
            <w:r>
              <w:t>vs_sigizi_kohort_ibu</w:t>
            </w:r>
          </w:p>
        </w:tc>
      </w:tr>
      <w:tr>
        <w:trPr>
          <w:cantSplit/>
        </w:trPr>
        <w:tc>
          <w:tcPr>
            <w:tcW w:type="dxa" w:w="4680"/>
            <w:tcMar>
              <w:top w:w="80" w:type="dxa"/>
              <w:bottom w:w="80" w:type="dxa"/>
              <w:start w:w="120" w:type="dxa"/>
              <w:end w:w="120" w:type="dxa"/>
            </w:tcMar>
          </w:tcPr>
          <w:p>
            <w:pPr>
              <w:pStyle w:val="TableText"/>
            </w:pPr>
            <w:r>
              <w:t>sigizi_ibu_nifas</w:t>
            </w:r>
          </w:p>
        </w:tc>
        <w:tc>
          <w:tcPr>
            <w:tcW w:type="dxa" w:w="4680"/>
            <w:tcMar>
              <w:top w:w="80" w:type="dxa"/>
              <w:bottom w:w="80" w:type="dxa"/>
              <w:start w:w="120" w:type="dxa"/>
              <w:end w:w="120" w:type="dxa"/>
            </w:tcMar>
          </w:tcPr>
          <w:p>
            <w:pPr>
              <w:pStyle w:val="TableText"/>
            </w:pPr>
            <w:r>
              <w:t>vs_sigizi_kohort_nifas</w:t>
            </w:r>
          </w:p>
        </w:tc>
      </w:tr>
      <w:tr>
        <w:trPr>
          <w:cantSplit/>
        </w:trPr>
        <w:tc>
          <w:tcPr>
            <w:tcW w:type="dxa" w:w="4680"/>
            <w:tcMar>
              <w:top w:w="80" w:type="dxa"/>
              <w:bottom w:w="80" w:type="dxa"/>
              <w:start w:w="120" w:type="dxa"/>
              <w:end w:w="120" w:type="dxa"/>
            </w:tcMar>
          </w:tcPr>
          <w:p>
            <w:pPr>
              <w:pStyle w:val="TableText"/>
            </w:pPr>
            <w:r>
              <w:t>sigizi_bumil_hapus_new</w:t>
            </w:r>
          </w:p>
        </w:tc>
        <w:tc>
          <w:tcPr>
            <w:tcW w:type="dxa" w:w="4680"/>
            <w:tcMar>
              <w:top w:w="80" w:type="dxa"/>
              <w:bottom w:w="80" w:type="dxa"/>
              <w:start w:w="120" w:type="dxa"/>
              <w:end w:w="120" w:type="dxa"/>
            </w:tcMar>
          </w:tcPr>
          <w:p>
            <w:pPr>
              <w:pStyle w:val="TableText"/>
            </w:pPr>
            <w:r>
              <w:t>vs_sigizi_bumil_hapus (exclusion reference)</w:t>
            </w:r>
          </w:p>
        </w:tc>
      </w:tr>
    </w:tbl>
    <w:p>
      <w:pPr>
        <w:pStyle w:val="Heading2"/>
      </w:pPr>
      <w:r>
        <w:t>EPUS</w:t>
      </w:r>
    </w:p>
    <w:tbl>
      <w:tblPr>
        <w:tblStyle w:val="TableGrid"/>
        <w:tblW w:type="dxa" w:w="9360"/>
        <w:jc w:val="left"/>
        <w:tblLayout w:type="fixed"/>
        <w:tblLook w:firstColumn="1" w:firstRow="1" w:lastColumn="0" w:lastRow="0" w:noHBand="0" w:noVBand="1" w:val="04A0"/>
        <w:tblInd w:type="dxa" w:w="120"/>
      </w:tblPr>
      <w:tblGrid>
        <w:gridCol w:w="4680"/>
        <w:gridCol w:w="4680"/>
      </w:tblGrid>
      <w:tr>
        <w:trPr>
          <w:cantSplit/>
          <w:tblHeader/>
        </w:trPr>
        <w:tc>
          <w:tcPr>
            <w:tcW w:type="dxa" w:w="4680"/>
            <w:shd w:fill="F2F4F7"/>
            <w:tcMar>
              <w:top w:w="80" w:type="dxa"/>
              <w:bottom w:w="80" w:type="dxa"/>
              <w:start w:w="120" w:type="dxa"/>
              <w:end w:w="120" w:type="dxa"/>
            </w:tcMar>
          </w:tcPr>
          <w:p>
            <w:pPr>
              <w:pStyle w:val="TableText"/>
            </w:pPr>
            <w:r>
              <w:rPr>
                <w:b/>
              </w:rPr>
              <w:t>EPUS source in raw_data</w:t>
            </w:r>
          </w:p>
        </w:tc>
        <w:tc>
          <w:tcPr>
            <w:tcW w:type="dxa" w:w="4680"/>
            <w:shd w:fill="F2F4F7"/>
            <w:tcMar>
              <w:top w:w="80" w:type="dxa"/>
              <w:bottom w:w="80" w:type="dxa"/>
              <w:start w:w="120" w:type="dxa"/>
              <w:end w:w="120" w:type="dxa"/>
            </w:tcMar>
          </w:tcPr>
          <w:p>
            <w:pPr>
              <w:pStyle w:val="TableText"/>
            </w:pPr>
            <w:r>
              <w:rPr>
                <w:b/>
              </w:rPr>
              <w:t>Cleaning view</w:t>
            </w:r>
          </w:p>
        </w:tc>
      </w:tr>
      <w:tr>
        <w:trPr>
          <w:cantSplit/>
        </w:trPr>
        <w:tc>
          <w:tcPr>
            <w:tcW w:type="dxa" w:w="4680"/>
            <w:tcMar>
              <w:top w:w="80" w:type="dxa"/>
              <w:bottom w:w="80" w:type="dxa"/>
              <w:start w:w="120" w:type="dxa"/>
              <w:end w:w="120" w:type="dxa"/>
            </w:tcMar>
          </w:tcPr>
          <w:p>
            <w:pPr>
              <w:pStyle w:val="TableText"/>
            </w:pPr>
            <w:r>
              <w:t>epus_anc</w:t>
            </w:r>
          </w:p>
        </w:tc>
        <w:tc>
          <w:tcPr>
            <w:tcW w:type="dxa" w:w="4680"/>
            <w:tcMar>
              <w:top w:w="80" w:type="dxa"/>
              <w:bottom w:w="80" w:type="dxa"/>
              <w:start w:w="120" w:type="dxa"/>
              <w:end w:w="120" w:type="dxa"/>
            </w:tcMar>
          </w:tcPr>
          <w:p>
            <w:pPr>
              <w:pStyle w:val="TableText"/>
            </w:pPr>
            <w:r>
              <w:t>vs_epus_anc</w:t>
            </w:r>
          </w:p>
        </w:tc>
      </w:tr>
      <w:tr>
        <w:trPr>
          <w:cantSplit/>
        </w:trPr>
        <w:tc>
          <w:tcPr>
            <w:tcW w:type="dxa" w:w="4680"/>
            <w:tcMar>
              <w:top w:w="80" w:type="dxa"/>
              <w:bottom w:w="80" w:type="dxa"/>
              <w:start w:w="120" w:type="dxa"/>
              <w:end w:w="120" w:type="dxa"/>
            </w:tcMar>
          </w:tcPr>
          <w:p>
            <w:pPr>
              <w:pStyle w:val="TableText"/>
            </w:pPr>
            <w:r>
              <w:t>epus_inc</w:t>
            </w:r>
          </w:p>
        </w:tc>
        <w:tc>
          <w:tcPr>
            <w:tcW w:type="dxa" w:w="4680"/>
            <w:tcMar>
              <w:top w:w="80" w:type="dxa"/>
              <w:bottom w:w="80" w:type="dxa"/>
              <w:start w:w="120" w:type="dxa"/>
              <w:end w:w="120" w:type="dxa"/>
            </w:tcMar>
          </w:tcPr>
          <w:p>
            <w:pPr>
              <w:pStyle w:val="TableText"/>
            </w:pPr>
            <w:r>
              <w:t>vs_epus_inc</w:t>
            </w:r>
          </w:p>
        </w:tc>
      </w:tr>
      <w:tr>
        <w:trPr>
          <w:cantSplit/>
        </w:trPr>
        <w:tc>
          <w:tcPr>
            <w:tcW w:type="dxa" w:w="4680"/>
            <w:tcMar>
              <w:top w:w="80" w:type="dxa"/>
              <w:bottom w:w="80" w:type="dxa"/>
              <w:start w:w="120" w:type="dxa"/>
              <w:end w:w="120" w:type="dxa"/>
            </w:tcMar>
          </w:tcPr>
          <w:p>
            <w:pPr>
              <w:pStyle w:val="TableText"/>
            </w:pPr>
            <w:r>
              <w:t>epus_pnc</w:t>
            </w:r>
          </w:p>
        </w:tc>
        <w:tc>
          <w:tcPr>
            <w:tcW w:type="dxa" w:w="4680"/>
            <w:tcMar>
              <w:top w:w="80" w:type="dxa"/>
              <w:bottom w:w="80" w:type="dxa"/>
              <w:start w:w="120" w:type="dxa"/>
              <w:end w:w="120" w:type="dxa"/>
            </w:tcMar>
          </w:tcPr>
          <w:p>
            <w:pPr>
              <w:pStyle w:val="TableText"/>
            </w:pPr>
            <w:r>
              <w:t>vs_epus_pnc</w:t>
            </w:r>
          </w:p>
        </w:tc>
      </w:tr>
      <w:tr>
        <w:trPr>
          <w:cantSplit/>
        </w:trPr>
        <w:tc>
          <w:tcPr>
            <w:tcW w:type="dxa" w:w="4680"/>
            <w:tcMar>
              <w:top w:w="80" w:type="dxa"/>
              <w:bottom w:w="80" w:type="dxa"/>
              <w:start w:w="120" w:type="dxa"/>
              <w:end w:w="120" w:type="dxa"/>
            </w:tcMar>
          </w:tcPr>
          <w:p>
            <w:pPr>
              <w:pStyle w:val="TableText"/>
            </w:pPr>
            <w:r>
              <w:t>epus_kunjungan_ibu_hamil</w:t>
            </w:r>
          </w:p>
        </w:tc>
        <w:tc>
          <w:tcPr>
            <w:tcW w:type="dxa" w:w="4680"/>
            <w:tcMar>
              <w:top w:w="80" w:type="dxa"/>
              <w:bottom w:w="80" w:type="dxa"/>
              <w:start w:w="120" w:type="dxa"/>
              <w:end w:w="120" w:type="dxa"/>
            </w:tcMar>
          </w:tcPr>
          <w:p>
            <w:pPr>
              <w:pStyle w:val="TableText"/>
            </w:pPr>
            <w:r>
              <w:t>vs_kohort_epus_kunjungan_ibu_hamil</w:t>
            </w:r>
          </w:p>
        </w:tc>
      </w:tr>
    </w:tbl>
    <w:p>
      <w:pPr>
        <w:pStyle w:val="Heading2"/>
      </w:pPr>
      <w:r>
        <w:t>SIMRS, Kobo and facility reporting</w:t>
      </w:r>
    </w:p>
    <w:tbl>
      <w:tblPr>
        <w:tblStyle w:val="TableGrid"/>
        <w:tblW w:type="dxa" w:w="9360"/>
        <w:jc w:val="left"/>
        <w:tblLayout w:type="fixed"/>
        <w:tblLook w:firstColumn="1" w:firstRow="1" w:lastColumn="0" w:lastRow="0" w:noHBand="0" w:noVBand="1" w:val="04A0"/>
        <w:tblInd w:type="dxa" w:w="120"/>
      </w:tblPr>
      <w:tblGrid>
        <w:gridCol w:w="4680"/>
        <w:gridCol w:w="4680"/>
      </w:tblGrid>
      <w:tr>
        <w:trPr>
          <w:cantSplit/>
          <w:tblHeader/>
        </w:trPr>
        <w:tc>
          <w:tcPr>
            <w:tcW w:type="dxa" w:w="4680"/>
            <w:shd w:fill="F2F4F7"/>
            <w:tcMar>
              <w:top w:w="80" w:type="dxa"/>
              <w:bottom w:w="80" w:type="dxa"/>
              <w:start w:w="120" w:type="dxa"/>
              <w:end w:w="120" w:type="dxa"/>
            </w:tcMar>
          </w:tcPr>
          <w:p>
            <w:pPr>
              <w:pStyle w:val="TableText"/>
            </w:pPr>
            <w:r>
              <w:rPr>
                <w:b/>
              </w:rPr>
              <w:t>Source / external boundary</w:t>
            </w:r>
          </w:p>
        </w:tc>
        <w:tc>
          <w:tcPr>
            <w:tcW w:type="dxa" w:w="4680"/>
            <w:shd w:fill="F2F4F7"/>
            <w:tcMar>
              <w:top w:w="80" w:type="dxa"/>
              <w:bottom w:w="80" w:type="dxa"/>
              <w:start w:w="120" w:type="dxa"/>
              <w:end w:w="120" w:type="dxa"/>
            </w:tcMar>
          </w:tcPr>
          <w:p>
            <w:pPr>
              <w:pStyle w:val="TableText"/>
            </w:pPr>
            <w:r>
              <w:rPr>
                <w:b/>
              </w:rPr>
              <w:t>Entry view</w:t>
            </w:r>
          </w:p>
        </w:tc>
      </w:tr>
      <w:tr>
        <w:trPr>
          <w:cantSplit/>
        </w:trPr>
        <w:tc>
          <w:tcPr>
            <w:tcW w:type="dxa" w:w="4680"/>
            <w:tcMar>
              <w:top w:w="80" w:type="dxa"/>
              <w:bottom w:w="80" w:type="dxa"/>
              <w:start w:w="120" w:type="dxa"/>
              <w:end w:w="120" w:type="dxa"/>
            </w:tcMar>
          </w:tcPr>
          <w:p>
            <w:pPr>
              <w:pStyle w:val="TableText"/>
            </w:pPr>
            <w:r>
              <w:t>raw_data.simrs_patut_patuh_inc</w:t>
            </w:r>
          </w:p>
        </w:tc>
        <w:tc>
          <w:tcPr>
            <w:tcW w:type="dxa" w:w="4680"/>
            <w:tcMar>
              <w:top w:w="80" w:type="dxa"/>
              <w:bottom w:w="80" w:type="dxa"/>
              <w:start w:w="120" w:type="dxa"/>
              <w:end w:w="120" w:type="dxa"/>
            </w:tcMar>
          </w:tcPr>
          <w:p>
            <w:pPr>
              <w:pStyle w:val="TableText"/>
            </w:pPr>
            <w:r>
              <w:t>vs_simrs_patut_patuh_inc</w:t>
            </w:r>
          </w:p>
        </w:tc>
      </w:tr>
      <w:tr>
        <w:trPr>
          <w:cantSplit/>
        </w:trPr>
        <w:tc>
          <w:tcPr>
            <w:tcW w:type="dxa" w:w="4680"/>
            <w:tcMar>
              <w:top w:w="80" w:type="dxa"/>
              <w:bottom w:w="80" w:type="dxa"/>
              <w:start w:w="120" w:type="dxa"/>
              <w:end w:w="120" w:type="dxa"/>
            </w:tcMar>
          </w:tcPr>
          <w:p>
            <w:pPr>
              <w:pStyle w:val="TableText"/>
            </w:pPr>
            <w:r>
              <w:t>data_kobo_form.e-form_pencatatan_pelayanan_intranatal_care</w:t>
            </w:r>
          </w:p>
        </w:tc>
        <w:tc>
          <w:tcPr>
            <w:tcW w:type="dxa" w:w="4680"/>
            <w:tcMar>
              <w:top w:w="80" w:type="dxa"/>
              <w:bottom w:w="80" w:type="dxa"/>
              <w:start w:w="120" w:type="dxa"/>
              <w:end w:w="120" w:type="dxa"/>
            </w:tcMar>
          </w:tcPr>
          <w:p>
            <w:pPr>
              <w:pStyle w:val="TableText"/>
            </w:pPr>
            <w:r>
              <w:t>vs_kobo_inc_submission_clean → vs_kobo_inc_case_master</w:t>
            </w:r>
          </w:p>
        </w:tc>
      </w:tr>
      <w:tr>
        <w:trPr>
          <w:cantSplit/>
        </w:trPr>
        <w:tc>
          <w:tcPr>
            <w:tcW w:type="dxa" w:w="4680"/>
            <w:tcMar>
              <w:top w:w="80" w:type="dxa"/>
              <w:bottom w:w="80" w:type="dxa"/>
              <w:start w:w="120" w:type="dxa"/>
              <w:end w:w="120" w:type="dxa"/>
            </w:tcMar>
          </w:tcPr>
          <w:p>
            <w:pPr>
              <w:pStyle w:val="TableText"/>
            </w:pPr>
            <w:r>
              <w:t>data_adjudication.adj_final</w:t>
            </w:r>
          </w:p>
        </w:tc>
        <w:tc>
          <w:tcPr>
            <w:tcW w:type="dxa" w:w="4680"/>
            <w:tcMar>
              <w:top w:w="80" w:type="dxa"/>
              <w:bottom w:w="80" w:type="dxa"/>
              <w:start w:w="120" w:type="dxa"/>
              <w:end w:w="120" w:type="dxa"/>
            </w:tcMar>
          </w:tcPr>
          <w:p>
            <w:pPr>
              <w:pStyle w:val="TableText"/>
            </w:pPr>
            <w:r>
              <w:t>Also feeds vs_kobo_inc_case_master</w:t>
            </w:r>
          </w:p>
        </w:tc>
      </w:tr>
      <w:tr>
        <w:trPr>
          <w:cantSplit/>
        </w:trPr>
        <w:tc>
          <w:tcPr>
            <w:tcW w:type="dxa" w:w="4680"/>
            <w:tcMar>
              <w:top w:w="80" w:type="dxa"/>
              <w:bottom w:w="80" w:type="dxa"/>
              <w:start w:w="120" w:type="dxa"/>
              <w:end w:w="120" w:type="dxa"/>
            </w:tcMar>
          </w:tcPr>
          <w:p>
            <w:pPr>
              <w:pStyle w:val="TableText"/>
            </w:pPr>
            <w:r>
              <w:t>data_kobo_form.neonatus_outcome_v2</w:t>
            </w:r>
          </w:p>
        </w:tc>
        <w:tc>
          <w:tcPr>
            <w:tcW w:type="dxa" w:w="4680"/>
            <w:tcMar>
              <w:top w:w="80" w:type="dxa"/>
              <w:bottom w:w="80" w:type="dxa"/>
              <w:start w:w="120" w:type="dxa"/>
              <w:end w:w="120" w:type="dxa"/>
            </w:tcMar>
          </w:tcPr>
          <w:p>
            <w:pPr>
              <w:pStyle w:val="TableText"/>
            </w:pPr>
            <w:r>
              <w:t>vs_kobo_neonatus_outcome_v2_baby</w:t>
            </w:r>
          </w:p>
        </w:tc>
      </w:tr>
      <w:tr>
        <w:trPr>
          <w:cantSplit/>
        </w:trPr>
        <w:tc>
          <w:tcPr>
            <w:tcW w:type="dxa" w:w="4680"/>
            <w:tcMar>
              <w:top w:w="80" w:type="dxa"/>
              <w:bottom w:w="80" w:type="dxa"/>
              <w:start w:w="120" w:type="dxa"/>
              <w:end w:w="120" w:type="dxa"/>
            </w:tcMar>
          </w:tcPr>
          <w:p>
            <w:pPr>
              <w:pStyle w:val="TableText"/>
            </w:pPr>
            <w:r>
              <w:t>Facility birth reporting (upstream build outside repository)</w:t>
            </w:r>
          </w:p>
        </w:tc>
        <w:tc>
          <w:tcPr>
            <w:tcW w:type="dxa" w:w="4680"/>
            <w:tcMar>
              <w:top w:w="80" w:type="dxa"/>
              <w:bottom w:w="80" w:type="dxa"/>
              <w:start w:w="120" w:type="dxa"/>
              <w:end w:w="120" w:type="dxa"/>
            </w:tcMar>
          </w:tcPr>
          <w:p>
            <w:pPr>
              <w:pStyle w:val="TableText"/>
            </w:pPr>
            <w:r>
              <w:t>birth_report_faskes.v_inc_report_tracker</w:t>
            </w:r>
          </w:p>
        </w:tc>
      </w:tr>
    </w:tbl>
    <w:p>
      <w:r>
        <w:t>The source-group diagrams describe the primary production path. They do not imply that every view in a bundled box reads every raw table. The pairs above preserve the exact adapter relationships; the reporting-dependency appendix documents additional source reads for timing, weight and audit analyses.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Documentation review" w:initials="DR" w:date="2026-09-03T21:21:00Z">
    <w:p>
      <w:pPr>
        <w:pStyle w:val="CommentText"/>
      </w:pPr>
      <w:r>
        <w:rPr>
          <w:rStyle w:val="CommentReference"/>
        </w:rPr>
        <w:annotationRef/>
      </w:r>
      <w:r>
        <w:t>Revision: adds the restored SIGIZI deletion registry before source publication. This is pregnancy-specific exclusion, not a global patient blacklist.</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unning"/>
      <w:jc w:val="right"/>
    </w:pPr>
    <w:r>
      <w:t xml:space="preserve">Technical documentation • 3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unning"/>
    </w:pPr>
    <w:r>
      <w:t>LOMBOK BARAT  /  BIRTH OUTCOME PIPELINE v3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B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64" w:lineRule="auto" w:before="0"/>
      <w:contextualSpacing/>
    </w:pPr>
    <w:rPr>
      <w:rFonts w:asciiTheme="majorHAnsi" w:eastAsiaTheme="majorEastAsia" w:hAnsiTheme="majorHAnsi" w:cstheme="majorBidi" w:ascii="Calibri" w:hAnsi="Calibri"/>
      <w:color w:val="0B2545"/>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line="264" w:lineRule="auto"/>
    </w:pPr>
    <w:rPr>
      <w:rFonts w:asciiTheme="majorHAnsi" w:eastAsiaTheme="majorEastAsia" w:hAnsiTheme="majorHAnsi" w:cstheme="majorBidi" w:ascii="Calibri" w:hAnsi="Calibri"/>
      <w:i/>
      <w:iCs/>
      <w:color w:val="52616B"/>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pPr>
      <w:spacing w:line="240" w:lineRule="auto" w:after="60" w:before="0"/>
    </w:pPr>
    <w:rPr>
      <w:rFonts w:ascii="Calibri" w:hAnsi="Calibri"/>
      <w:color w:val="202B33"/>
      <w:sz w:val="17"/>
    </w:rPr>
  </w:style>
  <w:style w:type="paragraph" w:customStyle="1" w:styleId="CaptionText">
    <w:name w:val="CaptionText"/>
    <w:pPr>
      <w:spacing w:line="240" w:lineRule="auto" w:after="80" w:before="80"/>
    </w:pPr>
    <w:rPr>
      <w:rFonts w:ascii="Calibri" w:hAnsi="Calibri"/>
      <w:color w:val="52616B"/>
      <w:sz w:val="18"/>
    </w:rPr>
  </w:style>
  <w:style w:type="paragraph" w:customStyle="1" w:styleId="Inventory">
    <w:name w:val="Inventory"/>
    <w:pPr>
      <w:spacing w:line="240" w:lineRule="auto" w:after="60" w:before="0"/>
    </w:pPr>
    <w:rPr>
      <w:rFonts w:ascii="Calibri" w:hAnsi="Calibri"/>
      <w:color w:val="202B33"/>
      <w:sz w:val="18"/>
    </w:rPr>
  </w:style>
  <w:style w:type="paragraph" w:customStyle="1" w:styleId="Running">
    <w:name w:val="Running"/>
    <w:pPr>
      <w:spacing w:line="240" w:lineRule="auto" w:after="60" w:before="0"/>
    </w:pPr>
    <w:rPr>
      <w:rFonts w:ascii="Calibri" w:hAnsi="Calibri"/>
      <w:color w:val="5261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Lombok Barat birth outcomes: data flow and matching guide</dc:title>
  <dc:subject>Source-group workflow and pregnancy-specific SIGIZI deletion exclusion</dc:subject>
  <dc:creator>Lombok Barat pipeline documentation</dc:creator>
  <cp:keywords/>
  <dc:description>generated by python-docx</dc:description>
  <cp:lastModifiedBy/>
  <cp:revision>1</cp:revision>
  <dcterms:created xsi:type="dcterms:W3CDTF">2013-12-23T23:15:00Z</dcterms:created>
  <dcterms:modified xsi:type="dcterms:W3CDTF">2013-12-23T23:15:00Z</dcterms:modified>
  <cp:category/>
</cp:coreProperties>
</file>