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c-2-type-ii-annual-attestation"/>
    <w:p>
      <w:pPr>
        <w:pStyle w:val="Heading1"/>
      </w:pPr>
      <w:r>
        <w:t xml:space="preserve">SOC 2 Type II Annual Attestation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attestation covers the period January 1, 2025 through December 31, 2025.</w:t>
      </w:r>
    </w:p>
    <w:bookmarkEnd w:id="20"/>
    <w:bookmarkStart w:id="21" w:name="trust-services-criteria"/>
    <w:p>
      <w:pPr>
        <w:pStyle w:val="Heading2"/>
      </w:pPr>
      <w:r>
        <w:t xml:space="preserve">Trust Services Criteria</w:t>
      </w:r>
    </w:p>
    <w:p>
      <w:pPr>
        <w:pStyle w:val="FirstParagraph"/>
      </w:pPr>
      <w:r>
        <w:t xml:space="preserve">The following criteria were evaluated: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1"/>
        </w:numPr>
      </w:pPr>
      <w:r>
        <w:t xml:space="preserve">Confidentiality</w:t>
      </w:r>
    </w:p>
    <w:bookmarkEnd w:id="21"/>
    <w:bookmarkStart w:id="22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t xml:space="preserve">No material exceptions identified during the audit period.</w:t>
      </w:r>
    </w:p>
    <w:bookmarkEnd w:id="22"/>
    <w:bookmarkStart w:id="23" w:name="control-operating-effectiveness"/>
    <w:p>
      <w:pPr>
        <w:pStyle w:val="Heading2"/>
      </w:pPr>
      <w:r>
        <w:t xml:space="preserve">Control Operating Effectiveness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reviews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</w:tr>
    </w:tbl>
    <w:bookmarkEnd w:id="23"/>
    <w:bookmarkStart w:id="24" w:name="auditor"/>
    <w:p>
      <w:pPr>
        <w:pStyle w:val="Heading2"/>
      </w:pPr>
      <w:r>
        <w:t xml:space="preserve">Auditor</w:t>
      </w:r>
    </w:p>
    <w:p>
      <w:pPr>
        <w:pStyle w:val="FirstParagraph"/>
      </w:pPr>
      <w:r>
        <w:t xml:space="preserve">External Auditor LLP, completed Q1 2026.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