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data-dictionary-user-events"/>
    <w:p>
      <w:pPr>
        <w:pStyle w:val="Heading1"/>
      </w:pPr>
      <w:r>
        <w:t xml:space="preserve">Data Dictionary: User Events</w:t>
      </w:r>
    </w:p>
    <w:bookmarkStart w:id="20" w:name="table-user_events"/>
    <w:p>
      <w:pPr>
        <w:pStyle w:val="Heading2"/>
      </w:pPr>
      <w:r>
        <w:t xml:space="preserve">Table: user_events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event identifier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 to users.id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of: login, logout,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event_data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Event-specific payload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time, UTC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ip_address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user_agent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Browser/client identifier</w:t>
            </w:r>
          </w:p>
        </w:tc>
      </w:tr>
    </w:tbl>
    <w:bookmarkEnd w:id="20"/>
    <w:bookmarkStart w:id="21" w:name="indexes"/>
    <w:p>
      <w:pPr>
        <w:pStyle w:val="Heading2"/>
      </w:pPr>
      <w:r>
        <w:t xml:space="preserve">Indexes</w:t>
      </w:r>
    </w:p>
    <w:p>
      <w:pPr>
        <w:pStyle w:val="Compact"/>
        <w:numPr>
          <w:ilvl w:val="0"/>
          <w:numId w:val="1001"/>
        </w:numPr>
      </w:pPr>
      <w:r>
        <w:t xml:space="preserve">Primary key on event_id</w:t>
      </w:r>
    </w:p>
    <w:p>
      <w:pPr>
        <w:pStyle w:val="Compact"/>
        <w:numPr>
          <w:ilvl w:val="0"/>
          <w:numId w:val="1001"/>
        </w:numPr>
      </w:pPr>
      <w:r>
        <w:t xml:space="preserve">Index on (user_id, created_at)</w:t>
      </w:r>
    </w:p>
    <w:p>
      <w:pPr>
        <w:pStyle w:val="Compact"/>
        <w:numPr>
          <w:ilvl w:val="0"/>
          <w:numId w:val="1001"/>
        </w:numPr>
      </w:pPr>
      <w:r>
        <w:t xml:space="preserve">Index on (event_type, created_at)</w:t>
      </w:r>
    </w:p>
    <w:bookmarkEnd w:id="21"/>
    <w:bookmarkStart w:id="22" w:name="retention"/>
    <w:p>
      <w:pPr>
        <w:pStyle w:val="Heading2"/>
      </w:pPr>
      <w:r>
        <w:t xml:space="preserve">Retention</w:t>
      </w:r>
    </w:p>
    <w:p>
      <w:pPr>
        <w:pStyle w:val="FirstParagraph"/>
      </w:pPr>
      <w:r>
        <w:t xml:space="preserve">Events retained for 90 days, then archived to cold storage.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2026-04-25T06:50:54Z</dcterms:created>
  <dcterms:modified xsi:type="dcterms:W3CDTF">2026-04-25T06:50:54Z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