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esign-doc-new-auth-service"/>
    <w:p>
      <w:pPr>
        <w:pStyle w:val="Heading1"/>
      </w:pPr>
      <w:r>
        <w:t xml:space="preserve">Design Doc: New Auth Service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Engineering team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Replace legacy auth service</w:t>
      </w:r>
    </w:p>
    <w:p>
      <w:pPr>
        <w:pStyle w:val="Compact"/>
        <w:numPr>
          <w:ilvl w:val="0"/>
          <w:numId w:val="1001"/>
        </w:numPr>
      </w:pPr>
      <w:r>
        <w:t xml:space="preserve">Support OAuth2 and SAML</w:t>
      </w:r>
    </w:p>
    <w:p>
      <w:pPr>
        <w:pStyle w:val="Compact"/>
        <w:numPr>
          <w:ilvl w:val="0"/>
          <w:numId w:val="1001"/>
        </w:numPr>
      </w:pPr>
      <w:r>
        <w:t xml:space="preserve">Reduce p99 latency to under 100ms</w:t>
      </w:r>
    </w:p>
    <w:bookmarkEnd w:id="20"/>
    <w:bookmarkStart w:id="21" w:name="non-goals"/>
    <w:p>
      <w:pPr>
        <w:pStyle w:val="Heading2"/>
      </w:pPr>
      <w:r>
        <w:t xml:space="preserve">Non-goals</w:t>
      </w:r>
    </w:p>
    <w:p>
      <w:pPr>
        <w:pStyle w:val="Compact"/>
        <w:numPr>
          <w:ilvl w:val="0"/>
          <w:numId w:val="1002"/>
        </w:numPr>
      </w:pPr>
      <w:r>
        <w:t xml:space="preserve">Replacing the user database (separate project)</w:t>
      </w:r>
    </w:p>
    <w:p>
      <w:pPr>
        <w:pStyle w:val="Compact"/>
        <w:numPr>
          <w:ilvl w:val="0"/>
          <w:numId w:val="1002"/>
        </w:numPr>
      </w:pPr>
      <w:r>
        <w:t xml:space="preserve">Multi-tenant SSO (future quarter)</w:t>
      </w:r>
    </w:p>
    <w:bookmarkEnd w:id="21"/>
    <w:bookmarkStart w:id="22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new service is a stateless validator backed by a Redis cache. Token validation happens via JWT signature verification with key rotation.</w:t>
      </w:r>
    </w:p>
    <w:bookmarkEnd w:id="22"/>
    <w:bookmarkStart w:id="23" w:name="trade-offs"/>
    <w:p>
      <w:pPr>
        <w:pStyle w:val="Heading2"/>
      </w:pPr>
      <w:r>
        <w:t xml:space="preserve">Trade-offs</w:t>
      </w:r>
    </w:p>
    <w:p>
      <w:pPr>
        <w:pStyle w:val="FirstParagraph"/>
      </w:pPr>
      <w:r>
        <w:t xml:space="preserve">We chose JWT for stateless validation despite revocation complexity. Alternative: opaque tokens with central lookup (more secure, slower).</w:t>
      </w:r>
    </w:p>
    <w:bookmarkEnd w:id="23"/>
    <w:bookmarkStart w:id="24" w:name="rollout-plan"/>
    <w:p>
      <w:pPr>
        <w:pStyle w:val="Heading2"/>
      </w:pPr>
      <w:r>
        <w:t xml:space="preserve">Rollout plan</w:t>
      </w:r>
    </w:p>
    <w:p>
      <w:pPr>
        <w:pStyle w:val="Compact"/>
        <w:numPr>
          <w:ilvl w:val="0"/>
          <w:numId w:val="1003"/>
        </w:numPr>
      </w:pPr>
      <w:r>
        <w:t xml:space="preserve">Deploy to staging</w:t>
      </w:r>
    </w:p>
    <w:p>
      <w:pPr>
        <w:pStyle w:val="Compact"/>
        <w:numPr>
          <w:ilvl w:val="0"/>
          <w:numId w:val="1003"/>
        </w:numPr>
      </w:pPr>
      <w:r>
        <w:t xml:space="preserve">Run shadow traffic for 2 weeks</w:t>
      </w:r>
    </w:p>
    <w:p>
      <w:pPr>
        <w:pStyle w:val="Compact"/>
        <w:numPr>
          <w:ilvl w:val="0"/>
          <w:numId w:val="1003"/>
        </w:numPr>
      </w:pPr>
      <w:r>
        <w:t xml:space="preserve">Canary deploy to 1% of production</w:t>
      </w:r>
    </w:p>
    <w:p>
      <w:pPr>
        <w:pStyle w:val="Compact"/>
        <w:numPr>
          <w:ilvl w:val="0"/>
          <w:numId w:val="1003"/>
        </w:numPr>
      </w:pPr>
      <w:r>
        <w:t xml:space="preserve">Gradual rollout to 100%</w:t>
      </w:r>
    </w:p>
    <w:p>
      <w:pPr>
        <w:pStyle w:val="Compact"/>
        <w:numPr>
          <w:ilvl w:val="0"/>
          <w:numId w:val="1003"/>
        </w:numPr>
      </w:pPr>
      <w:r>
        <w:t xml:space="preserve">Decommission legacy service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2026-04-25T06:50:53Z</dcterms:created>
  <dcterms:modified xsi:type="dcterms:W3CDTF">2026-04-25T06:50:53Z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