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ampaign-brief-spring-product-launch"/>
    <w:p>
      <w:pPr>
        <w:pStyle w:val="Heading1"/>
      </w:pPr>
      <w:r>
        <w:t xml:space="preserve">Campaign Brief: Spring Product Launch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Drive 1,000 trial signups in the first 30 days.</w:t>
      </w:r>
    </w:p>
    <w:bookmarkEnd w:id="20"/>
    <w:bookmarkStart w:id="21" w:name="target-audience"/>
    <w:p>
      <w:pPr>
        <w:pStyle w:val="Heading2"/>
      </w:pPr>
      <w:r>
        <w:t xml:space="preserve">Target audience</w:t>
      </w:r>
    </w:p>
    <w:p>
      <w:pPr>
        <w:pStyle w:val="FirstParagraph"/>
      </w:pPr>
      <w:r>
        <w:t xml:space="preserve">Mid-market technology decision makers, 100-500 employees.</w:t>
      </w:r>
    </w:p>
    <w:bookmarkEnd w:id="21"/>
    <w:bookmarkStart w:id="22" w:name="key-message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“</w:t>
      </w:r>
      <w:r>
        <w:t xml:space="preserve">The only platform that saves you money while making your team more productive.</w:t>
      </w:r>
      <w:r>
        <w:t xml:space="preserve">”</w:t>
      </w:r>
    </w:p>
    <w:bookmarkEnd w:id="22"/>
    <w:bookmarkStart w:id="23" w:name="channels"/>
    <w:p>
      <w:pPr>
        <w:pStyle w:val="Heading2"/>
      </w:pPr>
      <w:r>
        <w:t xml:space="preserve">Channels</w:t>
      </w:r>
    </w:p>
    <w:p>
      <w:pPr>
        <w:pStyle w:val="Compact"/>
        <w:numPr>
          <w:ilvl w:val="0"/>
          <w:numId w:val="1001"/>
        </w:numPr>
      </w:pPr>
      <w:r>
        <w:t xml:space="preserve">LinkedIn ads</w:t>
      </w:r>
    </w:p>
    <w:p>
      <w:pPr>
        <w:pStyle w:val="Compact"/>
        <w:numPr>
          <w:ilvl w:val="0"/>
          <w:numId w:val="1001"/>
        </w:numPr>
      </w:pPr>
      <w:r>
        <w:t xml:space="preserve">Industry newsletter sponsorships</w:t>
      </w:r>
    </w:p>
    <w:p>
      <w:pPr>
        <w:pStyle w:val="Compact"/>
        <w:numPr>
          <w:ilvl w:val="0"/>
          <w:numId w:val="1001"/>
        </w:numPr>
      </w:pPr>
      <w:r>
        <w:t xml:space="preserve">Webinar series (3 events)</w:t>
      </w:r>
    </w:p>
    <w:p>
      <w:pPr>
        <w:pStyle w:val="Compact"/>
        <w:numPr>
          <w:ilvl w:val="0"/>
          <w:numId w:val="1001"/>
        </w:numPr>
      </w:pPr>
      <w:r>
        <w:t xml:space="preserve">Partner co-marketing</w:t>
      </w:r>
    </w:p>
    <w:bookmarkEnd w:id="23"/>
    <w:bookmarkStart w:id="24" w:name="budget"/>
    <w:p>
      <w:pPr>
        <w:pStyle w:val="Heading2"/>
      </w:pPr>
      <w:r>
        <w:t xml:space="preserve">Budget</w:t>
      </w:r>
    </w:p>
    <w:p>
      <w:pPr>
        <w:pStyle w:val="FirstParagraph"/>
      </w:pPr>
      <w:r>
        <w:t xml:space="preserve">$125,000 across all channels.</w:t>
      </w:r>
    </w:p>
    <w:bookmarkEnd w:id="24"/>
    <w:bookmarkStart w:id="25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02"/>
        </w:numPr>
      </w:pPr>
      <w:r>
        <w:t xml:space="preserve">1,000 trial signups</w:t>
      </w:r>
    </w:p>
    <w:p>
      <w:pPr>
        <w:pStyle w:val="Compact"/>
        <w:numPr>
          <w:ilvl w:val="0"/>
          <w:numId w:val="1002"/>
        </w:numPr>
      </w:pPr>
      <w:r>
        <w:t xml:space="preserve">250 sales-qualified leads</w:t>
      </w:r>
    </w:p>
    <w:p>
      <w:pPr>
        <w:pStyle w:val="Compact"/>
        <w:numPr>
          <w:ilvl w:val="0"/>
          <w:numId w:val="1002"/>
        </w:numPr>
      </w:pPr>
      <w:r>
        <w:t xml:space="preserve">25 closed-won deals</w:t>
      </w:r>
    </w:p>
    <w:p>
      <w:pPr>
        <w:pStyle w:val="Compact"/>
        <w:numPr>
          <w:ilvl w:val="0"/>
          <w:numId w:val="1002"/>
        </w:numPr>
      </w:pPr>
      <w:r>
        <w:t xml:space="preserve">$500,000 in new ARR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