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cceptable-use-policy"/>
    <w:p>
      <w:pPr>
        <w:pStyle w:val="Heading1"/>
      </w:pPr>
      <w:r>
        <w:t xml:space="preserve">Acceptable Use Policy</w:t>
      </w:r>
    </w:p>
    <w:p>
      <w:pPr>
        <w:pStyle w:val="FirstParagraph"/>
      </w:pPr>
      <w:r>
        <w:rPr>
          <w:b/>
          <w:bCs/>
        </w:rPr>
        <w:t xml:space="preserve">Effective:</w:t>
      </w:r>
      <w:r>
        <w:t xml:space="preserve"> </w:t>
      </w:r>
      <w:r>
        <w:t xml:space="preserve">April 25, 2026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governs the use of company computing resources by employees and contractors.</w:t>
      </w:r>
    </w:p>
    <w:bookmarkEnd w:id="20"/>
    <w:bookmarkStart w:id="21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 all systems owned, leased, or controlled by the company.</w:t>
      </w:r>
    </w:p>
    <w:bookmarkEnd w:id="21"/>
    <w:bookmarkStart w:id="22" w:name="acceptable-use"/>
    <w:p>
      <w:pPr>
        <w:pStyle w:val="Heading2"/>
      </w:pPr>
      <w:r>
        <w:t xml:space="preserve">3. Acceptable Use</w:t>
      </w:r>
    </w:p>
    <w:p>
      <w:pPr>
        <w:pStyle w:val="FirstParagraph"/>
      </w:pPr>
      <w:r>
        <w:t xml:space="preserve">Resources may be used for:</w:t>
      </w:r>
    </w:p>
    <w:p>
      <w:pPr>
        <w:pStyle w:val="Compact"/>
        <w:numPr>
          <w:ilvl w:val="0"/>
          <w:numId w:val="1001"/>
        </w:numPr>
      </w:pPr>
      <w:r>
        <w:t xml:space="preserve">Business activities</w:t>
      </w:r>
    </w:p>
    <w:p>
      <w:pPr>
        <w:pStyle w:val="Compact"/>
        <w:numPr>
          <w:ilvl w:val="0"/>
          <w:numId w:val="1001"/>
        </w:numPr>
      </w:pPr>
      <w:r>
        <w:t xml:space="preserve">Reasonable personal use that does not interfere with work</w:t>
      </w:r>
    </w:p>
    <w:p>
      <w:pPr>
        <w:pStyle w:val="Compact"/>
        <w:numPr>
          <w:ilvl w:val="0"/>
          <w:numId w:val="1001"/>
        </w:numPr>
      </w:pPr>
      <w:r>
        <w:t xml:space="preserve">Professional development</w:t>
      </w:r>
    </w:p>
    <w:bookmarkEnd w:id="22"/>
    <w:bookmarkStart w:id="23" w:name="prohibited-activities"/>
    <w:p>
      <w:pPr>
        <w:pStyle w:val="Heading2"/>
      </w:pPr>
      <w:r>
        <w:t xml:space="preserve">4. Prohibited Activities</w:t>
      </w:r>
    </w:p>
    <w:p>
      <w:pPr>
        <w:pStyle w:val="Compact"/>
        <w:numPr>
          <w:ilvl w:val="0"/>
          <w:numId w:val="1002"/>
        </w:numPr>
      </w:pPr>
      <w:r>
        <w:t xml:space="preserve">Sharing credentials with third parties</w:t>
      </w:r>
    </w:p>
    <w:p>
      <w:pPr>
        <w:pStyle w:val="Compact"/>
        <w:numPr>
          <w:ilvl w:val="0"/>
          <w:numId w:val="1002"/>
        </w:numPr>
      </w:pPr>
      <w:r>
        <w:t xml:space="preserve">Installing unapproved software</w:t>
      </w:r>
    </w:p>
    <w:p>
      <w:pPr>
        <w:pStyle w:val="Compact"/>
        <w:numPr>
          <w:ilvl w:val="0"/>
          <w:numId w:val="1002"/>
        </w:numPr>
      </w:pPr>
      <w:r>
        <w:t xml:space="preserve">Accessing systems beyond authorisation</w:t>
      </w:r>
    </w:p>
    <w:p>
      <w:pPr>
        <w:pStyle w:val="Compact"/>
        <w:numPr>
          <w:ilvl w:val="0"/>
          <w:numId w:val="1002"/>
        </w:numPr>
      </w:pPr>
      <w:r>
        <w:t xml:space="preserve">Storing personal media on company systems</w:t>
      </w:r>
    </w:p>
    <w:bookmarkEnd w:id="23"/>
    <w:bookmarkStart w:id="24" w:name="enforcement"/>
    <w:p>
      <w:pPr>
        <w:pStyle w:val="Heading2"/>
      </w:pPr>
      <w:r>
        <w:t xml:space="preserve">5. Enforcement</w:t>
      </w:r>
    </w:p>
    <w:p>
      <w:pPr>
        <w:pStyle w:val="FirstParagraph"/>
      </w:pPr>
      <w:r>
        <w:t xml:space="preserve">Violations may result in disciplinary action, up to and including termination.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