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f99d7647192d1dacd8204254842faec2ccc2be6"/>
    <w:p>
      <w:pPr>
        <w:pStyle w:val="Heading1"/>
      </w:pPr>
      <w:r>
        <w:t xml:space="preserve">Efficient Attention via Low-Rank Factorisation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propose a low-rank approximation to the attention matrix that reduces complexity from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to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r</m:t>
            </m:r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  <m:r>
          <m:rPr>
            <m:sty m:val="p"/>
          </m:rPr>
          <m:t>≪</m:t>
        </m:r>
        <m:r>
          <m:t>n</m:t>
        </m:r>
      </m:oMath>
      <w:r>
        <w:t xml:space="preserve">, with minimal loss on downstream tasks.</w: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Transformer attention scales quadratically in sequence length, making long-context inference expensive.</w:t>
      </w:r>
    </w:p>
    <w:bookmarkEnd w:id="21"/>
    <w:bookmarkStart w:id="22" w:name="method"/>
    <w:p>
      <w:pPr>
        <w:pStyle w:val="Heading2"/>
      </w:pPr>
      <w:r>
        <w:t xml:space="preserve">2. Method</w:t>
      </w:r>
    </w:p>
    <w:p>
      <w:pPr>
        <w:pStyle w:val="FirstParagraph"/>
      </w:pPr>
      <w:r>
        <w:t xml:space="preserve">Our approach trains a 1B draft model using distillation. At inference, the draft generates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candidate tokens.</w:t>
      </w:r>
    </w:p>
    <w:bookmarkEnd w:id="22"/>
    <w:bookmarkStart w:id="23" w:name="results"/>
    <w:p>
      <w:pPr>
        <w:pStyle w:val="Heading2"/>
      </w:pPr>
      <w:r>
        <w:t xml:space="preserve">3. Results</w:t>
      </w:r>
    </w:p>
    <w:p>
      <w:pPr>
        <w:pStyle w:val="FirstParagraph"/>
      </w:pPr>
      <w:r>
        <w:t xml:space="preserve">We see 2.3x speedup with token-level accuracy unchanged.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2026-04-25T06:41:15Z</dcterms:created>
  <dcterms:modified xsi:type="dcterms:W3CDTF">2026-04-25T06:41:15Z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