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literature-review-federated-learning"/>
    <w:p>
      <w:pPr>
        <w:pStyle w:val="Heading1"/>
      </w:pPr>
      <w:r>
        <w:t xml:space="preserve">Literature Review: Federated Learning</w:t>
      </w:r>
    </w:p>
    <w:bookmarkStart w:id="20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Federated learning trains ML models across distributed devices without centralising data.</w:t>
      </w:r>
    </w:p>
    <w:bookmarkEnd w:id="20"/>
    <w:bookmarkStart w:id="21" w:name="foundational-works"/>
    <w:p>
      <w:pPr>
        <w:pStyle w:val="Heading2"/>
      </w:pPr>
      <w:r>
        <w:t xml:space="preserve">Foundational works</w:t>
      </w:r>
    </w:p>
    <w:p>
      <w:pPr>
        <w:pStyle w:val="Compact"/>
        <w:numPr>
          <w:ilvl w:val="0"/>
          <w:numId w:val="1001"/>
        </w:numPr>
      </w:pPr>
      <w:r>
        <w:t xml:space="preserve">McMahan et al. (2017): introduced FedAvg algorithm</w:t>
      </w:r>
    </w:p>
    <w:p>
      <w:pPr>
        <w:pStyle w:val="Compact"/>
        <w:numPr>
          <w:ilvl w:val="0"/>
          <w:numId w:val="1001"/>
        </w:numPr>
      </w:pPr>
      <w:r>
        <w:t xml:space="preserve">Konečný et al. (2016): communication-efficient methods</w:t>
      </w:r>
    </w:p>
    <w:bookmarkEnd w:id="21"/>
    <w:bookmarkStart w:id="22" w:name="recent-advances"/>
    <w:p>
      <w:pPr>
        <w:pStyle w:val="Heading2"/>
      </w:pPr>
      <w:r>
        <w:t xml:space="preserve">Recent advances</w:t>
      </w:r>
    </w:p>
    <w:p>
      <w:pPr>
        <w:pStyle w:val="Compact"/>
        <w:numPr>
          <w:ilvl w:val="0"/>
          <w:numId w:val="1002"/>
        </w:numPr>
      </w:pPr>
      <w:r>
        <w:t xml:space="preserve">Personalisation: models adapted per-client (e.g., FedPer, pFedMe)</w:t>
      </w:r>
    </w:p>
    <w:p>
      <w:pPr>
        <w:pStyle w:val="Compact"/>
        <w:numPr>
          <w:ilvl w:val="0"/>
          <w:numId w:val="1002"/>
        </w:numPr>
      </w:pPr>
      <w:r>
        <w:t xml:space="preserve">Privacy: combined with differential privacy and secure aggregation</w:t>
      </w:r>
    </w:p>
    <w:p>
      <w:pPr>
        <w:pStyle w:val="Compact"/>
        <w:numPr>
          <w:ilvl w:val="0"/>
          <w:numId w:val="1002"/>
        </w:numPr>
      </w:pPr>
      <w:r>
        <w:t xml:space="preserve">Robustness: handling adversarial clients</w:t>
      </w:r>
    </w:p>
    <w:bookmarkEnd w:id="22"/>
    <w:bookmarkStart w:id="23" w:name="open-problems"/>
    <w:p>
      <w:pPr>
        <w:pStyle w:val="Heading2"/>
      </w:pPr>
      <w:r>
        <w:t xml:space="preserve">Open problems</w:t>
      </w:r>
    </w:p>
    <w:p>
      <w:pPr>
        <w:pStyle w:val="Compact"/>
        <w:numPr>
          <w:ilvl w:val="0"/>
          <w:numId w:val="1003"/>
        </w:numPr>
      </w:pPr>
      <w:r>
        <w:t xml:space="preserve">Heterogeneous device capabilities</w:t>
      </w:r>
    </w:p>
    <w:p>
      <w:pPr>
        <w:pStyle w:val="Compact"/>
        <w:numPr>
          <w:ilvl w:val="0"/>
          <w:numId w:val="1003"/>
        </w:numPr>
      </w:pPr>
      <w:r>
        <w:t xml:space="preserve">Non-IID data distributions</w:t>
      </w:r>
    </w:p>
    <w:p>
      <w:pPr>
        <w:pStyle w:val="Compact"/>
        <w:numPr>
          <w:ilvl w:val="0"/>
          <w:numId w:val="1003"/>
        </w:numPr>
      </w:pPr>
      <w:r>
        <w:t xml:space="preserve">Convergence guarantees with adaptive optimisers</w:t>
      </w:r>
    </w:p>
    <w:bookmarkEnd w:id="23"/>
    <w:bookmarkStart w:id="2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Federated learning has matured significantly but production deployments remain limited.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2026-04-25T06:50:54Z</dcterms:created>
  <dcterms:modified xsi:type="dcterms:W3CDTF">2026-04-25T06:50:54Z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