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letter-to-shareholders-q2-2026"/>
    <w:p>
      <w:pPr>
        <w:pStyle w:val="Heading1"/>
      </w:pPr>
      <w:r>
        <w:t xml:space="preserve">Letter to Shareholders — Q2 2026</w:t>
      </w:r>
    </w:p>
    <w:p>
      <w:pPr>
        <w:pStyle w:val="FirstParagraph"/>
      </w:pPr>
      <w:r>
        <w:t xml:space="preserve">Dear shareholders,</w:t>
      </w:r>
    </w:p>
    <w:p>
      <w:pPr>
        <w:pStyle w:val="BodyText"/>
      </w:pPr>
      <w:r>
        <w:t xml:space="preserve">Q2 was our strongest quarter to date. Revenue grew 22% YoY and we expanded to two new countries.</w:t>
      </w:r>
    </w:p>
    <w:bookmarkStart w:id="20" w:name="what-worked"/>
    <w:p>
      <w:pPr>
        <w:pStyle w:val="Heading2"/>
      </w:pPr>
      <w:r>
        <w:t xml:space="preserve">What worked</w:t>
      </w:r>
    </w:p>
    <w:p>
      <w:pPr>
        <w:pStyle w:val="Compact"/>
        <w:numPr>
          <w:ilvl w:val="0"/>
          <w:numId w:val="1001"/>
        </w:numPr>
      </w:pPr>
      <w:r>
        <w:t xml:space="preserve">Enterprise sales motion has matured</w:t>
      </w:r>
    </w:p>
    <w:p>
      <w:pPr>
        <w:pStyle w:val="Compact"/>
        <w:numPr>
          <w:ilvl w:val="0"/>
          <w:numId w:val="1001"/>
        </w:numPr>
      </w:pPr>
      <w:r>
        <w:t xml:space="preserve">Customer retention reached 95%</w:t>
      </w:r>
    </w:p>
    <w:p>
      <w:pPr>
        <w:pStyle w:val="Compact"/>
        <w:numPr>
          <w:ilvl w:val="0"/>
          <w:numId w:val="1001"/>
        </w:numPr>
      </w:pPr>
      <w:r>
        <w:t xml:space="preserve">Product velocity increased with new architecture</w:t>
      </w:r>
    </w:p>
    <w:bookmarkEnd w:id="20"/>
    <w:bookmarkStart w:id="21" w:name="what-didnt"/>
    <w:p>
      <w:pPr>
        <w:pStyle w:val="Heading2"/>
      </w:pPr>
      <w:r>
        <w:t xml:space="preserve">What didn’t</w:t>
      </w:r>
    </w:p>
    <w:p>
      <w:pPr>
        <w:pStyle w:val="Compact"/>
        <w:numPr>
          <w:ilvl w:val="0"/>
          <w:numId w:val="1002"/>
        </w:numPr>
      </w:pPr>
      <w:r>
        <w:t xml:space="preserve">Mobile launch delayed by one quarter</w:t>
      </w:r>
    </w:p>
    <w:p>
      <w:pPr>
        <w:pStyle w:val="Compact"/>
        <w:numPr>
          <w:ilvl w:val="0"/>
          <w:numId w:val="1002"/>
        </w:numPr>
      </w:pPr>
      <w:r>
        <w:t xml:space="preserve">Some pipeline opportunities pushed to Q3</w:t>
      </w:r>
    </w:p>
    <w:bookmarkEnd w:id="21"/>
    <w:bookmarkStart w:id="22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We’re investing in the platform layer to support the next phase of growth.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CEO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2026-04-25T06:51:56Z</dcterms:created>
  <dcterms:modified xsi:type="dcterms:W3CDTF">2026-04-25T06:51:56Z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