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CxVisual 平台灵魂与架构宪法</w:t>
      </w:r>
    </w:p>
    <w:p>
      <w:pPr>
        <w:jc w:val="center"/>
      </w:pPr>
      <w:r>
        <w:rPr>
          <w:rFonts w:ascii="Noto Sans CJK SC" w:hAnsi="Noto Sans CJK SC" w:eastAsia="Noto Sans CJK SC"/>
          <w:color w:val="475569"/>
          <w:sz w:val="26"/>
        </w:rPr>
        <w:t>Platform Soul &amp; Architecture Constitution</w:t>
      </w:r>
    </w:p>
    <w:p/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814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7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81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文档版本</w:t>
            </w:r>
          </w:p>
        </w:tc>
        <w:tc>
          <w:tcPr>
            <w:tcW w:type="dxa" w:w="691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V1.0-Review</w:t>
            </w:r>
          </w:p>
        </w:tc>
      </w:tr>
      <w:tr>
        <w:tc>
          <w:tcPr>
            <w:tcW w:type="dxa" w:w="181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日期</w:t>
            </w:r>
          </w:p>
        </w:tc>
        <w:tc>
          <w:tcPr>
            <w:tcW w:type="dxa" w:w="691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2026-09-17</w:t>
            </w:r>
          </w:p>
        </w:tc>
      </w:tr>
      <w:tr>
        <w:tc>
          <w:tcPr>
            <w:tcW w:type="dxa" w:w="181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文档角色</w:t>
            </w:r>
          </w:p>
        </w:tc>
        <w:tc>
          <w:tcPr>
            <w:tcW w:type="dxa" w:w="691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CxVisual 最高级架构约束、评审与演进基线</w:t>
            </w:r>
          </w:p>
        </w:tc>
      </w:tr>
      <w:tr>
        <w:tc>
          <w:tcPr>
            <w:tcW w:type="dxa" w:w="181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适用范围</w:t>
            </w:r>
          </w:p>
        </w:tc>
        <w:tc>
          <w:tcPr>
            <w:tcW w:type="dxa" w:w="691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Common / Automation / Simulation / HMI / Vision / CT3D / Inspection / 总体场景体系</w:t>
            </w:r>
          </w:p>
        </w:tc>
      </w:tr>
      <w:tr>
        <w:tc>
          <w:tcPr>
            <w:tcW w:type="dxa" w:w="181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状态</w:t>
            </w:r>
          </w:p>
        </w:tc>
        <w:tc>
          <w:tcPr>
            <w:tcW w:type="dxa" w:w="691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Review：用于案例攻击、ADR评审及八本文档反向校正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color w:val="0F172A"/>
          <w:sz w:val="26"/>
        </w:rPr>
        <w:t>核心原则：统一工程资源，不统一专业语义；统一契约，不做万能 Runtime。</w:t>
      </w:r>
    </w:p>
    <w:p>
      <w:r>
        <w:br w:type="page"/>
      </w:r>
    </w:p>
    <w:p>
      <w:pPr>
        <w:pStyle w:val="Heading1"/>
      </w:pPr>
      <w:r>
        <w:t>宪法总览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454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#</w:t>
            </w:r>
          </w:p>
        </w:tc>
        <w:tc>
          <w:tcPr>
            <w:tcW w:type="dxa" w:w="2438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宪法原则</w:t>
            </w:r>
          </w:p>
        </w:tc>
        <w:tc>
          <w:tcPr>
            <w:tcW w:type="dxa" w:w="5783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一句话</w:t>
            </w:r>
          </w:p>
        </w:tc>
      </w:tr>
      <w:tr>
        <w:tc>
          <w:tcPr>
            <w:tcW w:type="dxa" w:w="45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 Platform + 6 Workbenches</w:t>
            </w:r>
          </w:p>
        </w:tc>
        <w:tc>
          <w:tcPr>
            <w:tcW w:type="dxa" w:w="57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一级结构按独立编辑/资源/运行语义划分，不按行业名词划分。</w:t>
            </w:r>
          </w:p>
        </w:tc>
      </w:tr>
      <w:tr>
        <w:tc>
          <w:tcPr>
            <w:tcW w:type="dxa" w:w="45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Resource First</w:t>
            </w:r>
          </w:p>
        </w:tc>
        <w:tc>
          <w:tcPr>
            <w:tcW w:type="dxa" w:w="57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Resource 是工程基本单位；EmbeddedObject 不冒充顶层 Resource。</w:t>
            </w:r>
          </w:p>
        </w:tc>
      </w:tr>
      <w:tr>
        <w:tc>
          <w:tcPr>
            <w:tcW w:type="dxa" w:w="45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3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Definition ≠ Runtime State</w:t>
            </w:r>
          </w:p>
        </w:tc>
        <w:tc>
          <w:tcPr>
            <w:tcW w:type="dxa" w:w="57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工程定义与运行状态严格分离，但生命周期按资源性质选择。</w:t>
            </w:r>
          </w:p>
        </w:tc>
      </w:tr>
      <w:tr>
        <w:tc>
          <w:tcPr>
            <w:tcW w:type="dxa" w:w="45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4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Mechanism in Common</w:t>
            </w:r>
          </w:p>
        </w:tc>
        <w:tc>
          <w:tcPr>
            <w:tcW w:type="dxa" w:w="57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Common 只拥有机制，不拥有专业语义。</w:t>
            </w:r>
          </w:p>
        </w:tc>
      </w:tr>
      <w:tr>
        <w:tc>
          <w:tcPr>
            <w:tcW w:type="dxa" w:w="45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5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Shared Graph Contract</w:t>
            </w:r>
          </w:p>
        </w:tc>
        <w:tc>
          <w:tcPr>
            <w:tcW w:type="dxa" w:w="57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共用 Graph/Node/Port/Ref 契约，不共用万能专业 Runtime。</w:t>
            </w:r>
          </w:p>
        </w:tc>
      </w:tr>
      <w:tr>
        <w:tc>
          <w:tcPr>
            <w:tcW w:type="dxa" w:w="45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6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Stable Cross-Workbench Contracts</w:t>
            </w:r>
          </w:p>
        </w:tc>
        <w:tc>
          <w:tcPr>
            <w:tcW w:type="dxa" w:w="57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跨 Workbench 只通过 Ref/Action/State/Event/Stream/DataHandle/Result/Invocation。</w:t>
            </w:r>
          </w:p>
        </w:tc>
      </w:tr>
      <w:tr>
        <w:tc>
          <w:tcPr>
            <w:tcW w:type="dxa" w:w="45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7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Capability over Inheritance</w:t>
            </w:r>
          </w:p>
        </w:tc>
        <w:tc>
          <w:tcPr>
            <w:tcW w:type="dxa" w:w="57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Capability 优先于深继承与 Vendor if/else。</w:t>
            </w:r>
          </w:p>
        </w:tc>
      </w:tr>
      <w:tr>
        <w:tc>
          <w:tcPr>
            <w:tcW w:type="dxa" w:w="45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8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Realtime Boundary</w:t>
            </w:r>
          </w:p>
        </w:tc>
        <w:tc>
          <w:tcPr>
            <w:tcW w:type="dxa" w:w="57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硬实时下沉控制器；CxVisual 只承诺软实时调度与工程运行。</w:t>
            </w:r>
          </w:p>
        </w:tc>
      </w:tr>
      <w:tr>
        <w:tc>
          <w:tcPr>
            <w:tcW w:type="dxa" w:w="45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9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Studio/Runtime Separation</w:t>
            </w:r>
          </w:p>
        </w:tc>
        <w:tc>
          <w:tcPr>
            <w:tcW w:type="dxa" w:w="57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Studio 可离线；Target Runtime 自治运行，发布 Package/Manifest。</w:t>
            </w:r>
          </w:p>
        </w:tc>
      </w:tr>
      <w:tr>
        <w:tc>
          <w:tcPr>
            <w:tcW w:type="dxa" w:w="45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10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Simulation Same Engineering</w:t>
            </w:r>
          </w:p>
        </w:tc>
        <w:tc>
          <w:tcPr>
            <w:tcW w:type="dxa" w:w="57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Real/Virtual/Replay/Hybrid 复用同一工程与契约。</w:t>
            </w:r>
          </w:p>
        </w:tc>
      </w:tr>
      <w:tr>
        <w:tc>
          <w:tcPr>
            <w:tcW w:type="dxa" w:w="45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11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Case as First-class Artifact</w:t>
            </w:r>
          </w:p>
        </w:tc>
        <w:tc>
          <w:tcPr>
            <w:tcW w:type="dxa" w:w="57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Case 同时承担需求、模板、仿真、测试、回归和平台演进。</w:t>
            </w:r>
          </w:p>
        </w:tc>
      </w:tr>
      <w:tr>
        <w:tc>
          <w:tcPr>
            <w:tcW w:type="dxa" w:w="454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12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ADR Governance</w:t>
            </w:r>
          </w:p>
        </w:tc>
        <w:tc>
          <w:tcPr>
            <w:tcW w:type="dxa" w:w="578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修改 Common/Resource/Graph/跨域契约等根基必须先做 ADR + Case Evidence。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680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7937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章节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0. 文档定位与使用方式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1. 平台灵魂：CxVisual 到底是什么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3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2. 一级产品结构：1 Platform + 6 Workbenches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4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3. 三个正交视角：不要再用一条分类轴解释所有东西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5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4. Resource 是工程世界的基本单位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6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5. 工程树不是对象树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7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6. 工程定义与运行状态严格分离，但生命周期按资源类型选择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8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7. Definition / Resolve / Compile / Runtime / Provider 的统一生命周期模型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9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8. Common 只拥有“机制”，不拥有“专业语义”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10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9. 共用 Graph Model，不共用专业 Runtime 语义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11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10. 跨 Workbench 只能通过稳定契约交互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12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11. Command / State / Event / Stream 四种语义必须分离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13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12. 逻辑能力必须形成阶梯，而不是一上来就 Script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14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13. Capability 优先于深继承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15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14. 实时边界必须永久清晰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16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15. Runtime 必须脱离 Studio 独立生存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17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16. 发布的是 Resolved Manifest，而不是当前内存状态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18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17. Schema、Migration、Version 是平台生命线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19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18. Simulation 不是另一套工程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20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19. Case 是正式平台制品，不是 examples 目录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21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20. 新增一级 Workbench 的门槛必须很高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22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21. Security、Safety、Audit 必须贯穿执行链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23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22. Diagnostics 必须是设计的一部分，而不是出问题后加日志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24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23. 性能与大数据必须以 Handle / Queue / Budget 显式建模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25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24. Station、Geometry、Measurement 等跨域概念必须区分“公共基础”与“专业语义”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26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25. 典型对象生命周期必须允许多种形态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27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26. 代表案例必须用来“攻击”架构，而不是只做演示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28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27. 当前架构验证结论与尚未关闭的问题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29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28. 明确禁止的反模式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30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29. 架构变更治理：ADR + Gate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31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30. 八本文档与本宪法的关系</w:t>
            </w:r>
          </w:p>
        </w:tc>
      </w:tr>
      <w:tr>
        <w:tc>
          <w:tcPr>
            <w:tcW w:type="dxa" w:w="680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32</w:t>
            </w:r>
          </w:p>
        </w:tc>
        <w:tc>
          <w:tcPr>
            <w:tcW w:type="dxa" w:w="793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31. 结论：平台要长期守住的十条红线</w:t>
            </w:r>
          </w:p>
        </w:tc>
      </w:tr>
    </w:tbl>
    <w:p/>
    <w:p>
      <w:r>
        <w:br w:type="page"/>
      </w:r>
    </w:p>
    <w:p>
      <w:pPr>
        <w:pStyle w:val="Heading1"/>
      </w:pPr>
      <w:r>
        <w:t>0. 文档定位与使用方式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本文件不是功能清单，也不是某个模块的详细设计，而是 CxVisual 的最高级架构约束。它回答：平台是什么、什么应进入 Common、什么必须留在专业 Workbench、资源如何被建模、运行如何被隔离、跨域如何交互、如何验证设计、以及什么情况下允许修改平台根基。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规范词：</w:t>
      </w:r>
      <w:r>
        <w:rPr>
          <w:rFonts w:ascii="Noto Sans CJK SC" w:hAnsi="Noto Sans CJK SC" w:eastAsia="Noto Sans CJK SC"/>
          <w:b/>
          <w:sz w:val="21"/>
        </w:rPr>
        <w:t>必须（MUST）</w:t>
      </w:r>
      <w:r>
        <w:rPr>
          <w:rFonts w:ascii="Noto Sans CJK SC" w:hAnsi="Noto Sans CJK SC" w:eastAsia="Noto Sans CJK SC"/>
          <w:b w:val="0"/>
          <w:sz w:val="21"/>
        </w:rPr>
        <w:t xml:space="preserve"> 表示架构红线；</w:t>
      </w:r>
      <w:r>
        <w:rPr>
          <w:rFonts w:ascii="Noto Sans CJK SC" w:hAnsi="Noto Sans CJK SC" w:eastAsia="Noto Sans CJK SC"/>
          <w:b/>
          <w:sz w:val="21"/>
        </w:rPr>
        <w:t>应该（SHOULD）</w:t>
      </w:r>
      <w:r>
        <w:rPr>
          <w:rFonts w:ascii="Noto Sans CJK SC" w:hAnsi="Noto Sans CJK SC" w:eastAsia="Noto Sans CJK SC"/>
          <w:b w:val="0"/>
          <w:sz w:val="21"/>
        </w:rPr>
        <w:t xml:space="preserve"> 表示默认决策，偏离需要 ADR 说明；</w:t>
      </w:r>
      <w:r>
        <w:rPr>
          <w:rFonts w:ascii="Noto Sans CJK SC" w:hAnsi="Noto Sans CJK SC" w:eastAsia="Noto Sans CJK SC"/>
          <w:b/>
          <w:sz w:val="21"/>
        </w:rPr>
        <w:t>可以（MAY）</w:t>
      </w:r>
      <w:r>
        <w:rPr>
          <w:rFonts w:ascii="Noto Sans CJK SC" w:hAnsi="Noto Sans CJK SC" w:eastAsia="Noto Sans CJK SC"/>
          <w:b w:val="0"/>
          <w:sz w:val="21"/>
        </w:rPr>
        <w:t xml:space="preserve"> 表示允许但不强制；</w:t>
      </w:r>
      <w:r>
        <w:rPr>
          <w:rFonts w:ascii="Noto Sans CJK SC" w:hAnsi="Noto Sans CJK SC" w:eastAsia="Noto Sans CJK SC"/>
          <w:b/>
          <w:sz w:val="21"/>
        </w:rPr>
        <w:t>禁止（MUST NOT）</w:t>
      </w:r>
      <w:r>
        <w:rPr>
          <w:rFonts w:ascii="Noto Sans CJK SC" w:hAnsi="Noto Sans CJK SC" w:eastAsia="Noto Sans CJK SC"/>
          <w:b w:val="0"/>
          <w:sz w:val="21"/>
        </w:rPr>
        <w:t xml:space="preserve"> 表示任何项目不得绕开。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当前状态为 Review 基线：用于重新审查并反向约束 Common、Automation、Simulation、HMI、Vision、CT3D、Inspection 八本文档。若详细设计与本文件冲突，以本文件为优先，除非先通过 ADR 修改宪法。</w:t>
      </w:r>
    </w:p>
    <w:p>
      <w:pPr>
        <w:pStyle w:val="Heading1"/>
      </w:pPr>
      <w:r>
        <w:t>1. 平台灵魂：CxVisual 到底是什么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CxVisual 不是“把很多工业软件放在一个壳里”，也不是“一个万能 Graph Runtime”。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</w:r>
      <w:r>
        <w:rPr>
          <w:rFonts w:ascii="Noto Sans CJK SC" w:hAnsi="Noto Sans CJK SC" w:eastAsia="Noto Sans CJK SC"/>
          <w:b/>
          <w:sz w:val="21"/>
        </w:rPr>
        <w:t>正式定义：</w:t>
      </w:r>
      <w:r>
        <w:rPr>
          <w:rFonts w:ascii="Noto Sans CJK SC" w:hAnsi="Noto Sans CJK SC" w:eastAsia="Noto Sans CJK SC"/>
          <w:b w:val="0"/>
          <w:sz w:val="21"/>
        </w:rPr>
        <w:t xml:space="preserve"> CxVisual 是一个以 </w:t>
      </w:r>
      <w:r>
        <w:rPr>
          <w:rFonts w:ascii="Noto Sans CJK SC" w:hAnsi="Noto Sans CJK SC" w:eastAsia="Noto Sans CJK SC"/>
          <w:b/>
          <w:sz w:val="21"/>
        </w:rPr>
        <w:t>Versioned Resource Graph</w:t>
      </w:r>
      <w:r>
        <w:rPr>
          <w:rFonts w:ascii="Noto Sans CJK SC" w:hAnsi="Noto Sans CJK SC" w:eastAsia="Noto Sans CJK SC"/>
          <w:b w:val="0"/>
          <w:sz w:val="21"/>
        </w:rPr>
        <w:t xml:space="preserve"> 为工程核心、以 </w:t>
      </w:r>
      <w:r>
        <w:rPr>
          <w:rFonts w:ascii="Noto Sans CJK SC" w:hAnsi="Noto Sans CJK SC" w:eastAsia="Noto Sans CJK SC"/>
          <w:b/>
          <w:sz w:val="21"/>
        </w:rPr>
        <w:t>Capability</w:t>
      </w:r>
      <w:r>
        <w:rPr>
          <w:rFonts w:ascii="Noto Sans CJK SC" w:hAnsi="Noto Sans CJK SC" w:eastAsia="Noto Sans CJK SC"/>
          <w:b w:val="0"/>
          <w:sz w:val="21"/>
        </w:rPr>
        <w:t xml:space="preserve"> 为扩展机制、以 </w:t>
      </w:r>
      <w:r>
        <w:rPr>
          <w:rFonts w:ascii="Noto Sans CJK SC" w:hAnsi="Noto Sans CJK SC" w:eastAsia="Noto Sans CJK SC"/>
          <w:b/>
          <w:sz w:val="21"/>
        </w:rPr>
        <w:t>专业 Workbench</w:t>
      </w:r>
      <w:r>
        <w:rPr>
          <w:rFonts w:ascii="Noto Sans CJK SC" w:hAnsi="Noto Sans CJK SC" w:eastAsia="Noto Sans CJK SC"/>
          <w:b w:val="0"/>
          <w:sz w:val="21"/>
        </w:rPr>
        <w:t xml:space="preserve"> 为用户入口、以 </w:t>
      </w:r>
      <w:r>
        <w:rPr>
          <w:rFonts w:ascii="Noto Sans CJK SC" w:hAnsi="Noto Sans CJK SC" w:eastAsia="Noto Sans CJK SC"/>
          <w:b/>
          <w:sz w:val="21"/>
        </w:rPr>
        <w:t>多种专业 Runtime</w:t>
      </w:r>
      <w:r>
        <w:rPr>
          <w:rFonts w:ascii="Noto Sans CJK SC" w:hAnsi="Noto Sans CJK SC" w:eastAsia="Noto Sans CJK SC"/>
          <w:b w:val="0"/>
          <w:sz w:val="21"/>
        </w:rPr>
        <w:t xml:space="preserve"> 为执行引擎、以 </w:t>
      </w:r>
      <w:r>
        <w:rPr>
          <w:rFonts w:ascii="Noto Sans CJK SC" w:hAnsi="Noto Sans CJK SC" w:eastAsia="Noto Sans CJK SC"/>
          <w:b/>
          <w:sz w:val="21"/>
        </w:rPr>
        <w:t>Simulation / Diagnostics / Case Regression</w:t>
      </w:r>
      <w:r>
        <w:rPr>
          <w:rFonts w:ascii="Noto Sans CJK SC" w:hAnsi="Noto Sans CJK SC" w:eastAsia="Noto Sans CJK SC"/>
          <w:b w:val="0"/>
          <w:sz w:val="21"/>
        </w:rPr>
        <w:t xml:space="preserve"> 为质量闭环的统一工业工程与运行平台。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工程师面对的是资源、引用、规则、流程、页面、算法、产品与场景；Runtime 面对的是解析后的资源、Execution Plan、Provider、Worker、资源租约和运行上下文。Studio 负责“工程定义”，Runtime 负责“执行已发布定义”。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 xml:space="preserve">平台目标不是让所有行业对象都进入核心，而是让新的工业场景可以优先通过 </w:t>
      </w:r>
      <w:r>
        <w:rPr>
          <w:rFonts w:ascii="Noto Sans CJK SC" w:hAnsi="Noto Sans CJK SC" w:eastAsia="Noto Sans CJK SC"/>
          <w:b/>
          <w:sz w:val="21"/>
        </w:rPr>
        <w:t>配置 → 表达式 → 规则 → Graph/Workflow → Script → Plugin/Native</w:t>
      </w:r>
      <w:r>
        <w:rPr>
          <w:rFonts w:ascii="Noto Sans CJK SC" w:hAnsi="Noto Sans CJK SC" w:eastAsia="Noto Sans CJK SC"/>
          <w:b w:val="0"/>
          <w:sz w:val="21"/>
        </w:rPr>
        <w:t xml:space="preserve"> 逐级解决，仅在长期重复且具有独立专业语义时扩展一级能力。</w:t>
      </w:r>
    </w:p>
    <w:p>
      <w:pPr>
        <w:pStyle w:val="Heading1"/>
      </w:pPr>
      <w:r>
        <w:t>2. 一级产品结构：1 Platform + 6 Workbenches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CxVisual 一级结构固定为：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Common / Platform</w:t>
      </w:r>
      <w:r>
        <w:rPr>
          <w:rFonts w:ascii="Noto Sans CJK SC" w:hAnsi="Noto Sans CJK SC" w:eastAsia="Noto Sans CJK SC"/>
          <w:b w:val="0"/>
          <w:sz w:val="20"/>
        </w:rPr>
        <w:t>：全平台机制与稳定契约。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Automation</w:t>
      </w:r>
      <w:r>
        <w:rPr>
          <w:rFonts w:ascii="Noto Sans CJK SC" w:hAnsi="Noto Sans CJK SC" w:eastAsia="Noto Sans CJK SC"/>
          <w:b w:val="0"/>
          <w:sz w:val="20"/>
        </w:rPr>
        <w:t>：机器怎么连、怎么动、怎么采、怎么测；吸纳 PLC/ICS/SCADA/IoT、Motion、Robot、IO、Camera/Detector/X-Ray、DAQ/Test/Measurement/Trigger 等。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Simulation</w:t>
      </w:r>
      <w:r>
        <w:rPr>
          <w:rFonts w:ascii="Noto Sans CJK SC" w:hAnsi="Noto Sans CJK SC" w:eastAsia="Noto Sans CJK SC"/>
          <w:b w:val="0"/>
          <w:sz w:val="20"/>
        </w:rPr>
        <w:t>：Virtual Device、Replay、Simulation Clock、Fault Injection、Hybrid Simulation、Virtual Commissioning、Digital Twin、Scenario Test。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HMI</w:t>
      </w:r>
      <w:r>
        <w:rPr>
          <w:rFonts w:ascii="Noto Sans CJK SC" w:hAnsi="Noto Sans CJK SC" w:eastAsia="Noto Sans CJK SC"/>
          <w:b w:val="0"/>
          <w:sz w:val="20"/>
        </w:rPr>
        <w:t>：Page、Symbol、Binding、State、Animation、Action、Dashboard、Trend、专业 Viewer 与 Designer/Runtime。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Vision</w:t>
      </w:r>
      <w:r>
        <w:rPr>
          <w:rFonts w:ascii="Noto Sans CJK SC" w:hAnsi="Noto Sans CJK SC" w:eastAsia="Noto Sans CJK SC"/>
          <w:b w:val="0"/>
          <w:sz w:val="20"/>
        </w:rPr>
        <w:t>：2D Image、ROI、传统视觉、AI、定位、测量、Calibration、Typed Vision Pipeline。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CT3D</w:t>
      </w:r>
      <w:r>
        <w:rPr>
          <w:rFonts w:ascii="Noto Sans CJK SC" w:hAnsi="Noto Sans CJK SC" w:eastAsia="Noto Sans CJK SC"/>
          <w:b w:val="0"/>
          <w:sz w:val="20"/>
        </w:rPr>
        <w:t>：Projection、Geometry、Calibration、Reconstruction、Volume、3D Analysis 与专业 Viewer。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Inspection</w:t>
      </w:r>
      <w:r>
        <w:rPr>
          <w:rFonts w:ascii="Noto Sans CJK SC" w:hAnsi="Noto Sans CJK SC" w:eastAsia="Noto Sans CJK SC"/>
          <w:b w:val="0"/>
          <w:sz w:val="20"/>
        </w:rPr>
        <w:t>：Product、Station/Point、InspectionPlan/Flow、Judge、Recheck、Review、Result、Trace、Recovery、MES 等产品级质量业务。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“Workbench”是用户的专业工作空间，不等同于代码包，也不等同于行业名词。SCADA、IoT、Robot、Motion、Manufacturing 等不因行业重要就自动成为一级 Workbench。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01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一级能力</w:t>
            </w:r>
          </w:p>
        </w:tc>
        <w:tc>
          <w:tcPr>
            <w:tcW w:type="dxa" w:w="2438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核心定位</w:t>
            </w:r>
          </w:p>
        </w:tc>
        <w:tc>
          <w:tcPr>
            <w:tcW w:type="dxa" w:w="3969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主要拥有/吸纳</w:t>
            </w:r>
          </w:p>
        </w:tc>
        <w:tc>
          <w:tcPr>
            <w:tcW w:type="dxa" w:w="3005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不应该承担</w:t>
            </w:r>
          </w:p>
        </w:tc>
      </w:tr>
      <w:tr>
        <w:tc>
          <w:tcPr>
            <w:tcW w:type="dxa" w:w="1701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Common / Platform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共享机制与稳定契约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Resource、Graph基础、Action/Event Contract、Context、Version、Security、Plugin、Diagnostics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Axis/Robot/FDK/Judge等专业语义</w:t>
            </w:r>
          </w:p>
        </w:tc>
      </w:tr>
      <w:tr>
        <w:tc>
          <w:tcPr>
            <w:tcW w:type="dxa" w:w="1701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Automation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物理世界连接、控制、采集、测量与设备级编排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PLC/SCADA/IoT、Motion、Robot、IO、Camera/Detector/XRay、DAQ/Test/Measurement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2D/3D算法内部、产品最终判定</w:t>
            </w:r>
          </w:p>
        </w:tc>
      </w:tr>
      <w:tr>
        <w:tc>
          <w:tcPr>
            <w:tcW w:type="dxa" w:w="1701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Simulation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虚拟世界、回放、故障和验证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VirtualDevice、Replay、Clock、Fault、Hybrid、Twin、Scenario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复制一套Real工程</w:t>
            </w:r>
          </w:p>
        </w:tc>
      </w:tr>
      <w:tr>
        <w:tc>
          <w:tcPr>
            <w:tcW w:type="dxa" w:w="1701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HMI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表现与人机交互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Page、Symbol、Binding、State、Action、Trend、Viewer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专业控制/算法/检测业务</w:t>
            </w:r>
          </w:p>
        </w:tc>
      </w:tr>
      <w:tr>
        <w:tc>
          <w:tcPr>
            <w:tcW w:type="dxa" w:w="1701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Vision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2D视觉事实与算法编排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Image、ROI、Calibration、Traditional/AI、Pipeline、VisionResult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相机硬件控制、产品最终OK/NG</w:t>
            </w:r>
          </w:p>
        </w:tc>
      </w:tr>
      <w:tr>
        <w:tc>
          <w:tcPr>
            <w:tcW w:type="dxa" w:w="1701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CT3D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CT/3D事实与算法编排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Projection、Geometry、Calibration、Recon、Volume、3D Analysis、CTResult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XRay/Axis控制、产品最终判定</w:t>
            </w:r>
          </w:p>
        </w:tc>
      </w:tr>
      <w:tr>
        <w:tc>
          <w:tcPr>
            <w:tcW w:type="dxa" w:w="1701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Inspection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产品级质量业务与Durable Workflow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Product、Plan、Point、Judge、Recheck、Review、Result、Trace、Recovery、MES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Vendor SDK和专业算法实现</w:t>
            </w:r>
          </w:p>
        </w:tc>
      </w:tr>
    </w:tbl>
    <w:p/>
    <w:p>
      <w:pPr>
        <w:pStyle w:val="Heading1"/>
      </w:pPr>
      <w:r>
        <w:t>3. 三个正交视角：不要再用一条分类轴解释所有东西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平台必须同时维护三个正交视角：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 xml:space="preserve">1. </w:t>
      </w:r>
      <w:r>
        <w:rPr>
          <w:rFonts w:ascii="Noto Sans CJK SC" w:hAnsi="Noto Sans CJK SC" w:eastAsia="Noto Sans CJK SC"/>
          <w:b/>
          <w:sz w:val="20"/>
        </w:rPr>
        <w:t>Application View（用户要做什么）</w:t>
      </w:r>
      <w:r>
        <w:rPr>
          <w:rFonts w:ascii="Noto Sans CJK SC" w:hAnsi="Noto Sans CJK SC" w:eastAsia="Noto Sans CJK SC"/>
          <w:b w:val="0"/>
          <w:sz w:val="20"/>
        </w:rPr>
        <w:t>：Automation / Simulation / HMI / Vision / CT3D / Inspection。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 xml:space="preserve">2. </w:t>
      </w:r>
      <w:r>
        <w:rPr>
          <w:rFonts w:ascii="Noto Sans CJK SC" w:hAnsi="Noto Sans CJK SC" w:eastAsia="Noto Sans CJK SC"/>
          <w:b/>
          <w:sz w:val="20"/>
        </w:rPr>
        <w:t>Resource View（工程里有什么）</w:t>
      </w:r>
      <w:r>
        <w:rPr>
          <w:rFonts w:ascii="Noto Sans CJK SC" w:hAnsi="Noto Sans CJK SC" w:eastAsia="Noto Sans CJK SC"/>
          <w:b w:val="0"/>
          <w:sz w:val="20"/>
        </w:rPr>
        <w:t>：PLC、Axis、Robot、Camera、Page、Pipeline、Model、Product、Flow、Rule、Script、Case 等。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 xml:space="preserve">3. </w:t>
      </w:r>
      <w:r>
        <w:rPr>
          <w:rFonts w:ascii="Noto Sans CJK SC" w:hAnsi="Noto Sans CJK SC" w:eastAsia="Noto Sans CJK SC"/>
          <w:b/>
          <w:sz w:val="20"/>
        </w:rPr>
        <w:t>Runtime View（运行时怎么执行）</w:t>
      </w:r>
      <w:r>
        <w:rPr>
          <w:rFonts w:ascii="Noto Sans CJK SC" w:hAnsi="Noto Sans CJK SC" w:eastAsia="Noto Sans CJK SC"/>
          <w:b w:val="0"/>
          <w:sz w:val="20"/>
        </w:rPr>
        <w:t>：Control Flow、Event Runtime、Typed DataFlow、Worker、Heavy Job、Durable Workflow、Renderer、Shared Service 等。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例如 Robot：Application 属于 Automation；Resource 包含 Robot/Tool/Frame/Program；Runtime 可能是 Serialized Command Executor + Robot Provider。SCADA 则横跨 Automation（变量/报警/连接）、HMI（趋势/报警视图）、Common（Historian/安全/版本）。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</w:r>
      <w:r>
        <w:rPr>
          <w:rFonts w:ascii="Noto Sans CJK SC" w:hAnsi="Noto Sans CJK SC" w:eastAsia="Noto Sans CJK SC"/>
          <w:b/>
          <w:sz w:val="21"/>
        </w:rPr>
        <w:t>MUST NOT：</w:t>
      </w:r>
      <w:r>
        <w:rPr>
          <w:rFonts w:ascii="Noto Sans CJK SC" w:hAnsi="Noto Sans CJK SC" w:eastAsia="Noto Sans CJK SC"/>
          <w:b w:val="0"/>
          <w:sz w:val="21"/>
        </w:rPr>
        <w:t xml:space="preserve"> 因为某对象出现在多个场景，就简单提升为一级 Workbench；必须先辨别它属于哪个视角。</w:t>
      </w:r>
    </w:p>
    <w:p>
      <w:pPr>
        <w:pStyle w:val="Heading1"/>
      </w:pPr>
      <w:r>
        <w:t>4. Resource 是工程世界的基本单位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</w:r>
      <w:r>
        <w:rPr>
          <w:rFonts w:ascii="Noto Sans CJK SC" w:hAnsi="Noto Sans CJK SC" w:eastAsia="Noto Sans CJK SC"/>
          <w:b/>
          <w:sz w:val="21"/>
        </w:rPr>
        <w:t>Resource</w:t>
      </w:r>
      <w:r>
        <w:rPr>
          <w:rFonts w:ascii="Noto Sans CJK SC" w:hAnsi="Noto Sans CJK SC" w:eastAsia="Noto Sans CJK SC"/>
          <w:b w:val="0"/>
          <w:sz w:val="21"/>
        </w:rPr>
        <w:t xml:space="preserve"> 是用户工程中可独立创建、保存、引用、版本化、比较、发布和复用的基本工程制品。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必须区分：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Resource</w:t>
      </w:r>
      <w:r>
        <w:rPr>
          <w:rFonts w:ascii="Noto Sans CJK SC" w:hAnsi="Noto Sans CJK SC" w:eastAsia="Noto Sans CJK SC"/>
          <w:b w:val="0"/>
          <w:sz w:val="20"/>
        </w:rPr>
        <w:t>：独立制品，如 Page、AutomationFlow、VisionPipeline、Robot、Recipe、InspectionPlan、Script。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EmbeddedObject</w:t>
      </w:r>
      <w:r>
        <w:rPr>
          <w:rFonts w:ascii="Noto Sans CJK SC" w:hAnsi="Noto Sans CJK SC" w:eastAsia="Noto Sans CJK SC"/>
          <w:b w:val="0"/>
          <w:sz w:val="20"/>
        </w:rPr>
        <w:t>：仅属于某 Resource 内部，如 Page 内 Rectangle、Pipeline 内 ThresholdNode、Flow 内 IfNode。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ResourceRef</w:t>
      </w:r>
      <w:r>
        <w:rPr>
          <w:rFonts w:ascii="Noto Sans CJK SC" w:hAnsi="Noto Sans CJK SC" w:eastAsia="Noto Sans CJK SC"/>
          <w:b w:val="0"/>
          <w:sz w:val="20"/>
        </w:rPr>
        <w:t>：稳定引用，不通过对象指针或文件路径耦合另一个资源。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Descriptor</w:t>
      </w:r>
      <w:r>
        <w:rPr>
          <w:rFonts w:ascii="Noto Sans CJK SC" w:hAnsi="Noto Sans CJK SC" w:eastAsia="Noto Sans CJK SC"/>
          <w:b w:val="0"/>
          <w:sz w:val="20"/>
        </w:rPr>
        <w:t>：平台识别资源类型、编辑器、图标、能力、Schema、Compiler/Runtime/Provider 等的元数据。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Artifact / DataHandle</w:t>
      </w:r>
      <w:r>
        <w:rPr>
          <w:rFonts w:ascii="Noto Sans CJK SC" w:hAnsi="Noto Sans CJK SC" w:eastAsia="Noto Sans CJK SC"/>
          <w:b w:val="0"/>
          <w:sz w:val="20"/>
        </w:rPr>
        <w:t>：大数据或运行产物，如 Image、Projection、Volume、Report、Trace Bundle；不得直接塞入普通 Resource JSON。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工程关系应优先通过稳定 ID + Reference 表达，而非把所有对象深度嵌套成一棵巨型对象树。OPC UA 以 Node + Reference 表达对象关系的思想可作为参考，但 CxVisual 不照搬 OPC UA AddressSpace。</w:t>
      </w:r>
    </w:p>
    <w:p>
      <w:pPr>
        <w:pStyle w:val="Heading1"/>
      </w:pPr>
      <w:r>
        <w:t>5. 工程树不是对象树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Studio 必须至少区分两个导航层：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Project Resource Explorer</w:t>
      </w:r>
      <w:r>
        <w:rPr>
          <w:rFonts w:ascii="Noto Sans CJK SC" w:hAnsi="Noto Sans CJK SC" w:eastAsia="Noto Sans CJK SC"/>
          <w:b w:val="0"/>
          <w:sz w:val="20"/>
        </w:rPr>
        <w:t>：操作单位是 Resource，例如 Page、Flow、Machine、Connection、Pipeline、Product、Script、Case。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Document / Object Structure</w:t>
      </w:r>
      <w:r>
        <w:rPr>
          <w:rFonts w:ascii="Noto Sans CJK SC" w:hAnsi="Noto Sans CJK SC" w:eastAsia="Noto Sans CJK SC"/>
          <w:b w:val="0"/>
          <w:sz w:val="20"/>
        </w:rPr>
        <w:t>：操作单位是当前 Resource 内部的 EmbeddedObject，例如 Page 元素、Graph Node、ROI、Layer、Group。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基础图元、Graph Node 等不因为“可选中”就自动成为 Project Resource。工程树不能退化为控件树，也不能将内部节点全部暴露成顶层文件。</w:t>
      </w:r>
    </w:p>
    <w:p>
      <w:pPr>
        <w:pStyle w:val="Heading1"/>
      </w:pPr>
      <w:r>
        <w:t>6. 工程定义与运行状态严格分离，但生命周期按资源类型选择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原先“Definition 和 Runtime 永远一一对应”的说法过强。正确原则是：</w:t>
      </w:r>
    </w:p>
    <w:p>
      <w:pPr>
        <w:ind w:left="397" w:right="170"/>
      </w:pPr>
      <w:r>
        <w:rPr>
          <w:i/>
          <w:color w:val="475569"/>
          <w:sz w:val="22"/>
        </w:rPr>
        <w:t>Definition 是工程想要什么；Runtime/Runtime State 是现在正在发生什么。两者语义必须分离，但并非每个 Definition 都必须对应一个 XxxRuntime 类。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资源生命周期至少分为：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Value Object</w:t>
      </w:r>
      <w:r>
        <w:rPr>
          <w:rFonts w:ascii="Noto Sans CJK SC" w:hAnsi="Noto Sans CJK SC" w:eastAsia="Noto Sans CJK SC"/>
          <w:b w:val="0"/>
          <w:sz w:val="20"/>
        </w:rPr>
        <w:t>：Point3D、Pose、Transform、Color 等，自身即值，不需要 Runtime/Provider。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Definition Only</w:t>
      </w:r>
      <w:r>
        <w:rPr>
          <w:rFonts w:ascii="Noto Sans CJK SC" w:hAnsi="Noto Sans CJK SC" w:eastAsia="Noto Sans CJK SC"/>
          <w:b w:val="0"/>
          <w:sz w:val="20"/>
        </w:rPr>
        <w:t>：DefectDefinition、Theme、部分 ROI/Template 等，运行时直接读取或生成 Result/Resolved Model。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Resolved Resource</w:t>
      </w:r>
      <w:r>
        <w:rPr>
          <w:rFonts w:ascii="Noto Sans CJK SC" w:hAnsi="Noto Sans CJK SC" w:eastAsia="Noto Sans CJK SC"/>
          <w:b w:val="0"/>
          <w:sz w:val="20"/>
        </w:rPr>
        <w:t>：需要解析 ResourceRef、Binding、坐标、参数覆盖，形成 Resolved Model。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Compiled Resource</w:t>
      </w:r>
      <w:r>
        <w:rPr>
          <w:rFonts w:ascii="Noto Sans CJK SC" w:hAnsi="Noto Sans CJK SC" w:eastAsia="Noto Sans CJK SC"/>
          <w:b w:val="0"/>
          <w:sz w:val="20"/>
        </w:rPr>
        <w:t>：Expression、Rule、AutomationProgram、VisionPipeline、CTPipeline、InspectionFlow 等先 Compile 为 Compiled Artifact / ExecutionPlan。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Runtime Resource</w:t>
      </w:r>
      <w:r>
        <w:rPr>
          <w:rFonts w:ascii="Noto Sans CJK SC" w:hAnsi="Noto Sans CJK SC" w:eastAsia="Noto Sans CJK SC"/>
          <w:b w:val="0"/>
          <w:sz w:val="20"/>
        </w:rPr>
        <w:t>：Page、Task、某些长生命周期对象具有独立运行状态。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External Runtime Resource</w:t>
      </w:r>
      <w:r>
        <w:rPr>
          <w:rFonts w:ascii="Noto Sans CJK SC" w:hAnsi="Noto Sans CJK SC" w:eastAsia="Noto Sans CJK SC"/>
          <w:b w:val="0"/>
          <w:sz w:val="20"/>
        </w:rPr>
        <w:t>：Axis、Robot、PLC、Camera 等通常形成 Definition + Runtime + Provider。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Shared Service</w:t>
      </w:r>
      <w:r>
        <w:rPr>
          <w:rFonts w:ascii="Noto Sans CJK SC" w:hAnsi="Noto Sans CJK SC" w:eastAsia="Noto Sans CJK SC"/>
          <w:b w:val="0"/>
          <w:sz w:val="20"/>
        </w:rPr>
        <w:t>：Historian、Audit、PluginManager 等通常由多个 Definition/Profile 共享一个 Service，不要求一 Definition 一 Runtime。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每个 ResourceDescriptor 应声明自己的 LifecycleKind，以及可选的 Resolver、Compiler、RuntimeFactory、ProviderContract。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701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LifecycleKind</w:t>
            </w:r>
          </w:p>
        </w:tc>
        <w:tc>
          <w:tcPr>
            <w:tcW w:type="dxa" w:w="2665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典型对象</w:t>
            </w:r>
          </w:p>
        </w:tc>
        <w:tc>
          <w:tcPr>
            <w:tcW w:type="dxa" w:w="1701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需要 Runtime?</w:t>
            </w:r>
          </w:p>
        </w:tc>
        <w:tc>
          <w:tcPr>
            <w:tcW w:type="dxa" w:w="1701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需要 Provider?</w:t>
            </w:r>
          </w:p>
        </w:tc>
        <w:tc>
          <w:tcPr>
            <w:tcW w:type="dxa" w:w="3402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典型路径</w:t>
            </w:r>
          </w:p>
        </w:tc>
      </w:tr>
      <w:tr>
        <w:tc>
          <w:tcPr>
            <w:tcW w:type="dxa" w:w="1701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Value</w:t>
            </w:r>
          </w:p>
        </w:tc>
        <w:tc>
          <w:tcPr>
            <w:tcW w:type="dxa" w:w="266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Point3D / Pose / Transform / Color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否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否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自身即值</w:t>
            </w:r>
          </w:p>
        </w:tc>
      </w:tr>
      <w:tr>
        <w:tc>
          <w:tcPr>
            <w:tcW w:type="dxa" w:w="1701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DefinitionOnly</w:t>
            </w:r>
          </w:p>
        </w:tc>
        <w:tc>
          <w:tcPr>
            <w:tcW w:type="dxa" w:w="266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DefectDefinition / Theme / Template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通常否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否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Definition → Direct Use/Result</w:t>
            </w:r>
          </w:p>
        </w:tc>
      </w:tr>
      <w:tr>
        <w:tc>
          <w:tcPr>
            <w:tcW w:type="dxa" w:w="1701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Resolved</w:t>
            </w:r>
          </w:p>
        </w:tc>
        <w:tc>
          <w:tcPr>
            <w:tcW w:type="dxa" w:w="266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ROISet / Binding / Coordinate Mapping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不一定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否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Definition → Resolve → ResolvedModel</w:t>
            </w:r>
          </w:p>
        </w:tc>
      </w:tr>
      <w:tr>
        <w:tc>
          <w:tcPr>
            <w:tcW w:type="dxa" w:w="1701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Compiled</w:t>
            </w:r>
          </w:p>
        </w:tc>
        <w:tc>
          <w:tcPr>
            <w:tcW w:type="dxa" w:w="266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Expression / Rule / Pipeline / Program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执行时需要Engine/Runtime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视情况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Definition → Compile → Compiled/Plan</w:t>
            </w:r>
          </w:p>
        </w:tc>
      </w:tr>
      <w:tr>
        <w:tc>
          <w:tcPr>
            <w:tcW w:type="dxa" w:w="1701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Runtime</w:t>
            </w:r>
          </w:p>
        </w:tc>
        <w:tc>
          <w:tcPr>
            <w:tcW w:type="dxa" w:w="266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Page / Task / Session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是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通常否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Definition → Resolve → Runtime</w:t>
            </w:r>
          </w:p>
        </w:tc>
      </w:tr>
      <w:tr>
        <w:tc>
          <w:tcPr>
            <w:tcW w:type="dxa" w:w="1701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ExternalRuntime</w:t>
            </w:r>
          </w:p>
        </w:tc>
        <w:tc>
          <w:tcPr>
            <w:tcW w:type="dxa" w:w="266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Axis / Robot / PLC / Camera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是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是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Definition → Runtime → Provider</w:t>
            </w:r>
          </w:p>
        </w:tc>
      </w:tr>
      <w:tr>
        <w:tc>
          <w:tcPr>
            <w:tcW w:type="dxa" w:w="1701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SharedService</w:t>
            </w:r>
          </w:p>
        </w:tc>
        <w:tc>
          <w:tcPr>
            <w:tcW w:type="dxa" w:w="266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Historian / Audit / PluginManager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非一对一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可能有Storage/External Adapter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Profile/Definition → Shared Service → Provider</w:t>
            </w:r>
          </w:p>
        </w:tc>
      </w:tr>
    </w:tbl>
    <w:p/>
    <w:p>
      <w:pPr>
        <w:pStyle w:val="Heading1"/>
      </w:pPr>
      <w:r>
        <w:t>7. Definition / Resolve / Compile / Runtime / Provider 的统一生命周期模型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平台必须允许以下统一而非僵化的生命周期：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</w:r>
      <w:r>
        <w:rPr>
          <w:rFonts w:ascii="Noto Sans CJK SC" w:hAnsi="Noto Sans CJK SC" w:eastAsia="Noto Sans CJK SC"/>
          <w:b/>
          <w:sz w:val="21"/>
        </w:rPr>
        <w:t>ResourceDefinition →（Direct Use / Resolve / Compile）→ ResolvedModel / ExecutionPlan →（如需要）Runtime / Service →（如需要）Provider / Adapter</w:t>
      </w:r>
      <w:r>
        <w:rPr>
          <w:rFonts w:ascii="Noto Sans CJK SC" w:hAnsi="Noto Sans CJK SC" w:eastAsia="Noto Sans CJK SC"/>
          <w:b w:val="0"/>
          <w:sz w:val="21"/>
        </w:rPr>
        <w:t>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设计任何重要对象时必须回答五个问题：</w:t>
        <w:br/>
        <w:t>1. 是否需要长期保存？若是，形成 Definition/Resource。</w:t>
        <w:br/>
        <w:t>2. 是否需要解析引用、继承、覆盖或生成派生模型？若是，增加 Resolve。</w:t>
        <w:br/>
        <w:t>3. 是否属于可执行 Graph/Program/Pipeline？若是，增加 Compile → ExecutionPlan。</w:t>
        <w:br/>
        <w:t>4. 是否存在持续变化的运行状态？若是，增加 Runtime/RuntimeState。</w:t>
        <w:br/>
        <w:t>5. 是否连接真实硬件、第三方库或外部系统？若是，增加 Provider/Adapter。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</w:r>
      <w:r>
        <w:rPr>
          <w:rFonts w:ascii="Noto Sans CJK SC" w:hAnsi="Noto Sans CJK SC" w:eastAsia="Noto Sans CJK SC"/>
          <w:b/>
          <w:sz w:val="21"/>
        </w:rPr>
        <w:t>MUST NOT：</w:t>
      </w:r>
      <w:r>
        <w:rPr>
          <w:rFonts w:ascii="Noto Sans CJK SC" w:hAnsi="Noto Sans CJK SC" w:eastAsia="Noto Sans CJK SC"/>
          <w:b w:val="0"/>
          <w:sz w:val="21"/>
        </w:rPr>
        <w:t xml:space="preserve"> 将 Designer 中的可变编辑对象直接拿去生产运行；Runtime 应消费已校验、已解析、必要时已编译的只读/稳定结构。</w:t>
      </w:r>
    </w:p>
    <w:p>
      <w:pPr>
        <w:pStyle w:val="Heading1"/>
      </w:pPr>
      <w:r>
        <w:t>8. Common 只拥有“机制”，不拥有“专业语义”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Common 的判断标准：去掉 Automation/Vision/CT3D/Inspection 等专业名词后，该机制是否仍有完整意义？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Common 可以拥有：Resource/Ref、Descriptor、Action Contract、Command/Event Contract、Expression/Rule Engine、Graph Node/Port/Edge、ExecutionContext、ResourceLease、DataHandle、Security/Audit、Version/Manifest、Plugin/Capability Registry、Diagnostics/Trace、Historian基础、Deployment基础。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Common 不应拥有：Axis、MoveJ、RobotTool、Vision Threshold、FDK、MPR、CTGeometry、Inspection Recheck、Product Judge 等专业语义。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</w:r>
      <w:r>
        <w:rPr>
          <w:rFonts w:ascii="Noto Sans CJK SC" w:hAnsi="Noto Sans CJK SC" w:eastAsia="Noto Sans CJK SC"/>
          <w:b/>
          <w:sz w:val="21"/>
        </w:rPr>
        <w:t>架构门禁：</w:t>
      </w:r>
      <w:r>
        <w:rPr>
          <w:rFonts w:ascii="Noto Sans CJK SC" w:hAnsi="Noto Sans CJK SC" w:eastAsia="Noto Sans CJK SC"/>
          <w:b w:val="0"/>
          <w:sz w:val="21"/>
        </w:rPr>
        <w:t xml:space="preserve"> 任何功能进入 Common 前必须说明至少两个独立 Workbench 的复用价值，且接口不包含某一 Workbench 的专用数据结构。</w:t>
      </w:r>
    </w:p>
    <w:p>
      <w:pPr>
        <w:pStyle w:val="Heading1"/>
      </w:pPr>
      <w:r>
        <w:t>9. 共用 Graph Model，不共用专业 Runtime 语义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Common 可以提供 GraphDefinition、Node、Port、Edge、SubGraph、Descriptor、Typed Contract、Graph Validation 基础，但各 Workbench 必须拥有独立专业执行语义：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Automation：Control Flow / Event / Resource / Interlock / StateMachine / Cancellation。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Vision：Typed DataFlow / Image / Batch / Stream / GPU / Backpressure。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CT3D：Projection / Heavy Job / Volume / GPU / Worker / Reconstruction。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Inspection：Durable Workflow / Product / Station / Checkpoint / Idempotency / External Side Effect。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HMI：Binding / State / Event-Action / Renderer / Navigation。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Simulation：Virtual Clock / Provider Routing / Replay / Deterministic Scenario。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</w:r>
      <w:r>
        <w:rPr>
          <w:rFonts w:ascii="Noto Sans CJK SC" w:hAnsi="Noto Sans CJK SC" w:eastAsia="Noto Sans CJK SC"/>
          <w:b/>
          <w:sz w:val="21"/>
        </w:rPr>
        <w:t>MUST NOT：</w:t>
      </w:r>
      <w:r>
        <w:rPr>
          <w:rFonts w:ascii="Noto Sans CJK SC" w:hAnsi="Noto Sans CJK SC" w:eastAsia="Noto Sans CJK SC"/>
          <w:b w:val="0"/>
          <w:sz w:val="21"/>
        </w:rPr>
        <w:t xml:space="preserve"> 因为界面上都是“节点+连线”，就让一个万能 GraphExecutor 解释所有专业流程。</w:t>
      </w:r>
    </w:p>
    <w:p>
      <w:pPr>
        <w:pStyle w:val="Heading1"/>
      </w:pPr>
      <w:r>
        <w:t>10. 跨 Workbench 只能通过稳定契约交互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跨 Workbench 禁止直接持有对方内部实现类或 Vendor SDK。允许的主要“语言”包括：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ResourceRef：引用谁。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Action / Command：请求做什么。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State：当前是什么。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Event：刚发生什么。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Stream：连续数据。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DataHandle：大数据只读/受控句柄。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Result：专业结果。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Invocation：调用某专业 Flow/Pipeline/Job。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ArtifactRef：运行产物引用。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例如 Inspection 调 Vision 应是 `RunVision(VisionPipelineRef, ImageHandle) -&gt; VisionResult`，而不是直接调用 Halcon/OpenCV/TensorRT 类；HMI Button 也不得直接调用 Camera SDK。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57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契约</w:t>
            </w:r>
          </w:p>
        </w:tc>
        <w:tc>
          <w:tcPr>
            <w:tcW w:type="dxa" w:w="3628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4535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典型例子</w:t>
            </w:r>
          </w:p>
        </w:tc>
      </w:tr>
      <w:tr>
        <w:tc>
          <w:tcPr>
            <w:tcW w:type="dxa" w:w="1757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ResourceRef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引用工程制品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InspectionPoint → VisionPipelineRef</w:t>
            </w:r>
          </w:p>
        </w:tc>
      </w:tr>
      <w:tr>
        <w:tc>
          <w:tcPr>
            <w:tcW w:type="dxa" w:w="1757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Action / Command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请求执行行为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HMI → StartMachine Action</w:t>
            </w:r>
          </w:p>
        </w:tc>
      </w:tr>
      <w:tr>
        <w:tc>
          <w:tcPr>
            <w:tcW w:type="dxa" w:w="1757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State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读取当前状态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Axis.Position / DeviceHealth</w:t>
            </w:r>
          </w:p>
        </w:tc>
      </w:tr>
      <w:tr>
        <w:tc>
          <w:tcPr>
            <w:tcW w:type="dxa" w:w="1757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Event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消费已发生事实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ProductArrived / MoveCompleted</w:t>
            </w:r>
          </w:p>
        </w:tc>
      </w:tr>
      <w:tr>
        <w:tc>
          <w:tcPr>
            <w:tcW w:type="dxa" w:w="1757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Stream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连续数据通道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ImageFrames / Projection / Signal</w:t>
            </w:r>
          </w:p>
        </w:tc>
      </w:tr>
      <w:tr>
        <w:tc>
          <w:tcPr>
            <w:tcW w:type="dxa" w:w="1757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DataHandle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大对象句柄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ImageHandle / VolumeHandle</w:t>
            </w:r>
          </w:p>
        </w:tc>
      </w:tr>
      <w:tr>
        <w:tc>
          <w:tcPr>
            <w:tcW w:type="dxa" w:w="1757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Result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专业结构化结果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VisionResult / CTResult / ProductResult</w:t>
            </w:r>
          </w:p>
        </w:tc>
      </w:tr>
      <w:tr>
        <w:tc>
          <w:tcPr>
            <w:tcW w:type="dxa" w:w="1757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Invocation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调用专业执行单元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RunVision / RunCT3D / RunSubFlow</w:t>
            </w:r>
          </w:p>
        </w:tc>
      </w:tr>
      <w:tr>
        <w:tc>
          <w:tcPr>
            <w:tcW w:type="dxa" w:w="1757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ArtifactRef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运行产物引用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OriginalImage / Report / ReplayBundle</w:t>
            </w:r>
          </w:p>
        </w:tc>
      </w:tr>
    </w:tbl>
    <w:p/>
    <w:p>
      <w:pPr>
        <w:pStyle w:val="Heading1"/>
      </w:pPr>
      <w:r>
        <w:t>11. Command / State / Event / Stream 四种语义必须分离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四种通道不可混成 UniversalEventBus：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Command</w:t>
      </w:r>
      <w:r>
        <w:rPr>
          <w:rFonts w:ascii="Noto Sans CJK SC" w:hAnsi="Noto Sans CJK SC" w:eastAsia="Noto Sans CJK SC"/>
          <w:b w:val="0"/>
          <w:sz w:val="20"/>
        </w:rPr>
        <w:t>：“请做某件事”，通常要求结果、Timeout、Cancellation、权限、Resource Lease，关键命令不可丢。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State</w:t>
      </w:r>
      <w:r>
        <w:rPr>
          <w:rFonts w:ascii="Noto Sans CJK SC" w:hAnsi="Noto Sans CJK SC" w:eastAsia="Noto Sans CJK SC"/>
          <w:b w:val="0"/>
          <w:sz w:val="20"/>
        </w:rPr>
        <w:t>：“现在是什么”，强调 Latest Value / Quality / Timestamp，可 Coalesce。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Event</w:t>
      </w:r>
      <w:r>
        <w:rPr>
          <w:rFonts w:ascii="Noto Sans CJK SC" w:hAnsi="Noto Sans CJK SC" w:eastAsia="Noto Sans CJK SC"/>
          <w:b w:val="0"/>
          <w:sz w:val="20"/>
        </w:rPr>
        <w:t>：“刚发生了什么”，不可变，带 EventId/Source/Timestamp/Correlation，可按 QoS 排队或持久化。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Stream</w:t>
      </w:r>
      <w:r>
        <w:rPr>
          <w:rFonts w:ascii="Noto Sans CJK SC" w:hAnsi="Noto Sans CJK SC" w:eastAsia="Noto Sans CJK SC"/>
          <w:b w:val="0"/>
          <w:sz w:val="20"/>
        </w:rPr>
        <w:t>：“连续数据”，如 Image/Projection/Signal，必须定义容量、背压、Ordering、Overflow/Retention。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Axis.MoveAbs 是 Command；Axis.Position 是 State；MoveCompleted 是 Event；Camera Frames 是 Stream。</w:t>
      </w:r>
    </w:p>
    <w:p>
      <w:pPr>
        <w:pStyle w:val="Heading1"/>
      </w:pPr>
      <w:r>
        <w:t>12. 逻辑能力必须形成阶梯，而不是一上来就 Script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平台逻辑能力按复杂度和风险递进：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</w:r>
      <w:r>
        <w:rPr>
          <w:rFonts w:ascii="Noto Sans CJK SC" w:hAnsi="Noto Sans CJK SC" w:eastAsia="Noto Sans CJK SC"/>
          <w:b/>
          <w:sz w:val="21"/>
        </w:rPr>
        <w:t>Configuration → Expression → Rule → Graph/Workflow → Script → Plugin/Native Code</w:t>
      </w:r>
      <w:r>
        <w:rPr>
          <w:rFonts w:ascii="Noto Sans CJK SC" w:hAnsi="Noto Sans CJK SC" w:eastAsia="Noto Sans CJK SC"/>
          <w:b w:val="0"/>
          <w:sz w:val="21"/>
        </w:rPr>
        <w:t>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默认原则：能配置解决，不写表达式；能表达式/规则解决，不写脚本；能 Graph 表达，不写项目专用代码。Script 是逃生门，Plugin/Native 用于真正需要新算法、驱动、设备 Capability 或性能边界的场景。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Script 不得绕开 Resource/Action/Security/Version/Audit 直接操纵 UI 或 Vendor SDK。</w:t>
      </w:r>
    </w:p>
    <w:p>
      <w:pPr>
        <w:pStyle w:val="Heading1"/>
      </w:pPr>
      <w:r>
        <w:t>13. Capability 优先于深继承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平台扩展应优先通过 Capability 描述“能做什么”，而不是通过巨大继承树猜测类型。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例如 Axis 可声明 IMovable/IHomeable/IStopppable；Robot 可声明 IRobotMotion/IFrameProvider/IToolManager/IIoProvider/ISafeStoppable；Trigger Device 可声明 IHardwareTrigger/IPositionCompare。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Graph Palette、Property、Runtime、Capability Check、Simulation Provider 应根据 Capability 发现能力。项目代码禁止出现大量 `if (device is VendorA/VendorB)` 分支。Vendor 差异必须被 Provider/Adapter 或 Capability Package 吸收。</w:t>
      </w:r>
    </w:p>
    <w:p>
      <w:pPr>
        <w:pStyle w:val="Heading1"/>
      </w:pPr>
      <w:r>
        <w:t>14. 实时边界必须永久清晰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CxVisual Windows Runtime 可以提供 Async、Event、Cyclic、Priority、Deadline、Watchdog 等软实时能力，但不得假装承担硬实时闭环。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</w:r>
      <w:r>
        <w:rPr>
          <w:rFonts w:ascii="Noto Sans CJK SC" w:hAnsi="Noto Sans CJK SC" w:eastAsia="Noto Sans CJK SC"/>
          <w:b/>
          <w:sz w:val="21"/>
        </w:rPr>
        <w:t>Hard Real-Time</w:t>
      </w:r>
      <w:r>
        <w:rPr>
          <w:rFonts w:ascii="Noto Sans CJK SC" w:hAnsi="Noto Sans CJK SC" w:eastAsia="Noto Sans CJK SC"/>
          <w:b w:val="0"/>
          <w:sz w:val="21"/>
        </w:rPr>
        <w:t>：Servo Loop、EtherCAT Cycle、Position Compare、Robot Trajectory Interpolation、Safety Loop 等必须下沉 PLC / Motion Controller / Robot Controller / FPGA / RTOS。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</w:r>
      <w:r>
        <w:rPr>
          <w:rFonts w:ascii="Noto Sans CJK SC" w:hAnsi="Noto Sans CJK SC" w:eastAsia="Noto Sans CJK SC"/>
          <w:b/>
          <w:sz w:val="21"/>
        </w:rPr>
        <w:t>Soft Real-Time</w:t>
      </w:r>
      <w:r>
        <w:rPr>
          <w:rFonts w:ascii="Noto Sans CJK SC" w:hAnsi="Noto Sans CJK SC" w:eastAsia="Noto Sans CJK SC"/>
          <w:b w:val="0"/>
          <w:sz w:val="21"/>
        </w:rPr>
        <w:t>：CxVisual Automation Runtime 负责设备级流程、事件、等待、调度、资源、监控和策略。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</w:r>
      <w:r>
        <w:rPr>
          <w:rFonts w:ascii="Noto Sans CJK SC" w:hAnsi="Noto Sans CJK SC" w:eastAsia="Noto Sans CJK SC"/>
          <w:b/>
          <w:sz w:val="21"/>
        </w:rPr>
        <w:t>Business / Compute / UI</w:t>
      </w:r>
      <w:r>
        <w:rPr>
          <w:rFonts w:ascii="Noto Sans CJK SC" w:hAnsi="Noto Sans CJK SC" w:eastAsia="Noto Sans CJK SC"/>
          <w:b w:val="0"/>
          <w:sz w:val="21"/>
        </w:rPr>
        <w:t>：Inspection / Vision / CT3D / HMI 可拥有独立 Worker/GPU/Job/Renderer，但不得阻塞硬实时控制。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任何需求声称“1ms/确定性/安全级”时，必须在架构评审中标注具体 Controller/RT 边界。</w:t>
      </w:r>
    </w:p>
    <w:p>
      <w:pPr>
        <w:pStyle w:val="Heading1"/>
      </w:pPr>
      <w:r>
        <w:t>15. Runtime 必须脱离 Studio 独立生存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Studio 负责编辑、验证、编译、仿真、发布；Target Runtime 负责加载 Release Package 并自治运行。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生产运行必须满足：Studio 关闭、开发电脑离线、中心服务暂时断开、Remote Session 断开时，现场机台仍能按已发布配置继续运行。云端、管理端、AI助手、报表端不得成为现场生产的单点依赖。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运行时变更必须通过受控 RuntimeOverride/Teach/Recipe/ChangeSet，并具有范围、TTL、权限、Audit 与回写新版本的机制，禁止“现场改了但工程不知道”。</w:t>
      </w:r>
    </w:p>
    <w:p>
      <w:pPr>
        <w:pStyle w:val="Heading1"/>
      </w:pPr>
      <w:r>
        <w:t>16. 发布的是 Resolved Manifest，而不是当前内存状态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所有生产 Task/Run 应能够回答：使用了哪个 Automation Program、Vision Pipeline、Model、CT Geometry/Calibration、Recipe、Inspection Plan、Plugin、Driver、Profile、Schema。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 xml:space="preserve">Task/Run 启动时必须 Pin 一个 </w:t>
      </w:r>
      <w:r>
        <w:rPr>
          <w:rFonts w:ascii="Noto Sans CJK SC" w:hAnsi="Noto Sans CJK SC" w:eastAsia="Noto Sans CJK SC"/>
          <w:b/>
          <w:sz w:val="21"/>
        </w:rPr>
        <w:t>ResolvedManifest</w:t>
      </w:r>
      <w:r>
        <w:rPr>
          <w:rFonts w:ascii="Noto Sans CJK SC" w:hAnsi="Noto Sans CJK SC" w:eastAsia="Noto Sans CJK SC"/>
          <w:b w:val="0"/>
          <w:sz w:val="21"/>
        </w:rPr>
        <w:t>，记录资源版本、依赖版本和必要 Hash。结果、Trace、Artifact 必须能回指该 Manifest。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发布流程应是 Definition → Validate → Resolve → Compile → Test Evidence → Release Package → Target Precheck → Stage → Verify → Atomic Switch / Rollback。</w:t>
      </w:r>
    </w:p>
    <w:p>
      <w:pPr>
        <w:pStyle w:val="Heading1"/>
      </w:pPr>
      <w:r>
        <w:t>17. Schema、Migration、Version 是平台生命线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Resource 必须具有稳定 ResourceTypeId、SchemaVersion、ResourceVersion、StableId。加载旧工程时不得静默猜测修复；必须通过显式 MigrationStep，并保留备份和 Migration Log。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插件升级必须声明 ApiVersion/Capability/Schema 兼容性；ExecutionPlan 不应依赖 Designer 私有类。Release 中应有 DependencyManifest，可检查缺失插件、Provider Capability、目标平台版本、设备驱动版本。</w:t>
      </w:r>
    </w:p>
    <w:p>
      <w:pPr>
        <w:pStyle w:val="Heading1"/>
      </w:pPr>
      <w:r>
        <w:t>18. Simulation 不是另一套工程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禁止维护 RealFlow 和 SimulationFlow 两套业务逻辑。正确模式是同一个 Resource/Flow，通过 Provider Router 绑定 Real / Virtual / Replay / Hybrid 实现。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Simulation 必须复用真实 Resource Contract、Action、State/Event/Stream 和结果契约，并提供 SimulationClock、Fault Injection、Replay、Virtual Commissioning、Scenario Test、Golden/Baseline。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如果某真实流程无法在 Virtual/Replay Provider 下运行，优先检查真实设计是否过度耦合 Vendor SDK 或现场全局状态。</w:t>
      </w:r>
    </w:p>
    <w:p>
      <w:pPr>
        <w:pStyle w:val="Heading1"/>
      </w:pPr>
      <w:r>
        <w:t>19. Case 是正式平台制品，不是 examples 目录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CasePackage 同时是需求、示例、模板、Demo、培训、测试、回归和架构验证制品。建议包含 CaseManifest、SceneDefinitions、ResourceRefs、Automation/HMI/Vision/CT3D/Inspection/Simulation 资源、SampleData、FaultScenarios、GoldenTests、ExpectedMetrics、Documentation。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平台能力的晋升顺序应是：项目特例 → 可复用组件/Capability Package → 跨场景公共能力 → 极少数情况下的新 Workbench。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每个重大平台版本必须运行代表性 Case E2E Regression。</w:t>
      </w:r>
    </w:p>
    <w:p>
      <w:pPr>
        <w:pStyle w:val="Heading1"/>
      </w:pPr>
      <w:r>
        <w:t>20. 新增一级 Workbench 的门槛必须很高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只有同时满足以下条件才允许考虑第 7 个 Workbench：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用户把它视为独立工程任务；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有稳定复杂的专业 Resource 模型；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需要独立编辑体验；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有现有 Runtime 无法自然承载的独立执行语义；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有自己的专业调试模式；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已在多个独立场景中重复出现。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Laser、Welding、Dispensing、AGV、SCADA、IoT 等优先作为 Automation Capability / Plugin / Case；Manufacturing 优先作为场景而非一级 Workbench。</w:t>
      </w:r>
    </w:p>
    <w:p>
      <w:pPr>
        <w:pStyle w:val="Heading1"/>
      </w:pPr>
      <w:r>
        <w:t>21. Security、Safety、Audit 必须贯穿执行链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权限、安全与审计不是 HMI 的附加功能，而是从 Action/Command 到 Target Runtime 的全链路机制。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危险动作必须经过：Identity/Role → Mode → Permission → Resource → Interlock/Policy → Provider Capability → Execute → Audit/Trace。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远程工程默认 ReadOnly；写入需要 Target Runtime 最终裁决、TTL、审批/授权、审计。CxVisual 的软件 Interlock 不替代认证安全系统；真正 E-Stop/Safety Loop 必须由安全硬件/安全 PLC 承担。</w:t>
      </w:r>
    </w:p>
    <w:p>
      <w:pPr>
        <w:pStyle w:val="Heading1"/>
      </w:pPr>
      <w:r>
        <w:t>22. Diagnostics 必须是设计的一部分，而不是出问题后加日志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每个核心 Runtime 至少应能回答：当前 State/Task/Node 是什么、为什么等待、资源 Owner 是谁、Queue Depth/Backpressure 是否异常、Deadline/Watchdog 是否超限、哪个 Provider/Worker 不健康、哪个 Result/Artifact 属于哪个 Correlation/Manifest。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统一基础包括 Log、Trace、Metric、Health、Snapshot、CorrelationId、Timeline。专业 Workbench 在此基础上增加专业诊断：Automation WaitGraph/ResourceLease，Vision Frame/Worker/GPU，CT Reconstruction/VolumeIO，Inspection Checkpoint/Idempotency/Recovery，HMI Binding/Viewer FPS。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观测必须有界，禁止 Diagnostics 自身阻塞生产执行路径。</w:t>
      </w:r>
    </w:p>
    <w:p>
      <w:pPr>
        <w:pStyle w:val="Heading1"/>
      </w:pPr>
      <w:r>
        <w:t>23. 性能与大数据必须以 Handle / Queue / Budget 显式建模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Image、Projection、Volume、Mesh、Signal Block 等大对象跨节点/进程应通过 DataHandle/ArtifactRef，不应在对象图中反复深拷贝。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所有连续流必须明确 Capacity、Ordering、Overflow、Backpressure、Retention；所有 GPU/Worker/Station/Instrument 等稀缺资源必须有 Resource Capacity/Lease/Budget。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NoDrop 数据若下游处理能力不足，必须有背压、上游节流或持久化方案；不能通过“无限 Queue”掩盖设计缺陷。</w:t>
      </w:r>
    </w:p>
    <w:p>
      <w:pPr>
        <w:pStyle w:val="Heading1"/>
      </w:pPr>
      <w:r>
        <w:t>24. Station、Geometry、Measurement 等跨域概念必须区分“公共基础”与“专业语义”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案例验证暴露了几个必须进一步收敛的跨域概念：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Station</w:t>
      </w:r>
      <w:r>
        <w:rPr>
          <w:rFonts w:ascii="Noto Sans CJK SC" w:hAnsi="Noto Sans CJK SC" w:eastAsia="Noto Sans CJK SC"/>
          <w:b w:val="0"/>
          <w:sz w:val="20"/>
        </w:rPr>
        <w:t>：Automation 的 Physical/Machine Station 与 Inspection 的业务执行 Station 不能由两个 Workbench 同时“拥有”同一个类。建议 PhysicalStation 归 Automation/资源层，InspectionStation 通过 ResourceRef/Binding 指向物理站并增加业务 Capacity/Route 语义。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Geometry / Coordinate / Transform</w:t>
      </w:r>
      <w:r>
        <w:rPr>
          <w:rFonts w:ascii="Noto Sans CJK SC" w:hAnsi="Noto Sans CJK SC" w:eastAsia="Noto Sans CJK SC"/>
          <w:b w:val="0"/>
          <w:sz w:val="20"/>
        </w:rPr>
        <w:t>：Point/Vector/Pose/Transform/Frame/Unit 等数学基础可考虑进入 Common.Geometry；RobotTool、CameraCalibration、CTGeometry 仍必须留在专业 Workbench。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Measurement</w:t>
      </w:r>
      <w:r>
        <w:rPr>
          <w:rFonts w:ascii="Noto Sans CJK SC" w:hAnsi="Noto Sans CJK SC" w:eastAsia="Noto Sans CJK SC"/>
          <w:b w:val="0"/>
          <w:sz w:val="20"/>
        </w:rPr>
        <w:t>：通用 MeasurementValue（Value/Unit/Quality/Timestamp/Uncertainty/Source）可进入 Common Data Contract；具体 TestPlan、Vision Measurement、CT Measurement3D 留在专业域。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</w:r>
      <w:r>
        <w:rPr>
          <w:rFonts w:ascii="Noto Sans CJK SC" w:hAnsi="Noto Sans CJK SC" w:eastAsia="Noto Sans CJK SC"/>
          <w:b/>
          <w:sz w:val="20"/>
        </w:rPr>
        <w:t>Thing/Twin</w:t>
      </w:r>
      <w:r>
        <w:rPr>
          <w:rFonts w:ascii="Noto Sans CJK SC" w:hAnsi="Noto Sans CJK SC" w:eastAsia="Noto Sans CJK SC"/>
          <w:b w:val="0"/>
          <w:sz w:val="20"/>
        </w:rPr>
        <w:t>：Thing/Telemetry/Command 更接近 Automation/Edge Capability；通用 Resource identity/State/Telemetry contract 可在 Common；Digital Twin 的虚拟模型与仿真语义归 Simulation。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这些项在正式编码前需要 ADR 定稿。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587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3402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建议公共部分</w:t>
            </w:r>
          </w:p>
        </w:tc>
        <w:tc>
          <w:tcPr>
            <w:tcW w:type="dxa" w:w="3969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专业部分/所有权</w:t>
            </w:r>
          </w:p>
        </w:tc>
        <w:tc>
          <w:tcPr>
            <w:tcW w:type="dxa" w:w="1587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当前状态</w:t>
            </w:r>
          </w:p>
        </w:tc>
      </w:tr>
      <w:tr>
        <w:tc>
          <w:tcPr>
            <w:tcW w:type="dxa" w:w="1587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Station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稳定ResourceRef、Identity、Capability基础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PhysicalStation偏Automation；InspectionStation业务Binding偏Inspection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需ADR</w:t>
            </w:r>
          </w:p>
        </w:tc>
      </w:tr>
      <w:tr>
        <w:tc>
          <w:tcPr>
            <w:tcW w:type="dxa" w:w="1587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Geometry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Point/Vector/Pose/Transform/Frame/Unit数学基础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RobotTool、CameraCalibration、CTGeometry保留专业域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倾向Common.Geometry基础</w:t>
            </w:r>
          </w:p>
        </w:tc>
      </w:tr>
      <w:tr>
        <w:tc>
          <w:tcPr>
            <w:tcW w:type="dxa" w:w="1587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Measurement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Value/Unit/Quality/Timestamp/Uncertainty/Source通用Contract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VisionMeasurement、Measurement3D、TestPlan留专业域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需ADR细化</w:t>
            </w:r>
          </w:p>
        </w:tc>
      </w:tr>
      <w:tr>
        <w:tc>
          <w:tcPr>
            <w:tcW w:type="dxa" w:w="1587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Thing/Twin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Resource identity / State / Telemetry契约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Thing/Edge偏Automation；Twin Model/Clock/Replay偏Simulation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需ADR</w:t>
            </w:r>
          </w:p>
        </w:tc>
      </w:tr>
    </w:tbl>
    <w:p/>
    <w:p>
      <w:pPr>
        <w:pStyle w:val="Heading1"/>
      </w:pPr>
      <w:r>
        <w:t>25. 典型对象生命周期必须允许多种形态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设计不得强制所有对象都长成同一模板。推荐示例：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Point3D：Value Object。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DefectDefinition：Definition Only，运行时产生 DefectResult。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ROISet：Definition → Resolve（如动态坐标）→ VisionRuntime 使用。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Axis/Robot/Camera：Definition → Runtime → Provider。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Page：Definition → Resolve Binding → HmiRuntime / Renderer。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Expression/Rule：Definition → Compile → CompiledExpression/CompiledRule → Engine Evaluate。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AutomationProgram/VisionPipeline/CTPipeline/InspectionFlow：Definition → Validate/Resolve/Compile → ExecutionPlan → 专业 Runtime。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HistorianProfile：Definition/Profile → Shared HistorianService → Storage Provider。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这条用于防止“为了架构整齐而过度设计”。</w:t>
      </w:r>
    </w:p>
    <w:p>
      <w:pPr>
        <w:pStyle w:val="Heading1"/>
      </w:pPr>
      <w:r>
        <w:t>26. 代表案例必须用来“攻击”架构，而不是只做演示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当前至少用以下 Case 做架构回归：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>1. 普通 PLC + HMI 自动机：State/Mode、受控写、Alarm、Recipe、Wait/Recovery。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>2. Robot Cell：Robot/Frame/Tool/Zone、Vision Guidance、Simulation、Teach/Interlock。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>3. X-Ray 2D 在线检测：Motion/XRay/Detector/Trigger、Vision、Inspection、NoDrop Stream、节拍。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>4. 工业 CT：Automation Scan → ProjectionSeries → CT3D → Inspection，验证 Geometry/Calibration/Heavy Job/Volume。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>5. 气密/测试测量：Valve/Sensor/DAQ/Instrument → Measurement → Inspection Judge。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>6. SCADA 集中监控：PLC/Variable/Alarm/Historian/Trend，验证数据与HMI边界。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>7. IoT Edge：Thing/Broker/StoreForward/Twin/Operations，验证现场自治和断网补传。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>8. 多工位检测线：Task/Station Scheduler、Partition、共享资源、MES 幂等、Recovery。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>9. Virtual Commissioning / Replay：同一 Flow 在 Real/Virtual/Hybrid/Replay 下运行。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>10. Remote Engineering：ReadOnly→Maintenance Session→受控写→Case收集→TTL退出。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每个 Case 必须完整走：工程编辑 → 保存/加载 → Validate/Compile → Runtime → 跨域调用 → Fault/Recovery → Debug → Simulation → Release → Trace/Result。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28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Case</w:t>
            </w:r>
          </w:p>
        </w:tc>
        <w:tc>
          <w:tcPr>
            <w:tcW w:type="dxa" w:w="3005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主要工作台</w:t>
            </w:r>
          </w:p>
        </w:tc>
        <w:tc>
          <w:tcPr>
            <w:tcW w:type="dxa" w:w="6236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重点验证</w:t>
            </w:r>
          </w:p>
        </w:tc>
      </w:tr>
      <w:tr>
        <w:tc>
          <w:tcPr>
            <w:tcW w:type="dxa" w:w="192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PLC + HMI 自动机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Automation + HMI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State/Mode、Wait、受控写、Alarm、Recipe、Recovery</w:t>
            </w:r>
          </w:p>
        </w:tc>
      </w:tr>
      <w:tr>
        <w:tc>
          <w:tcPr>
            <w:tcW w:type="dxa" w:w="192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Robot Cell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Automation + HMI + Simulation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Frame/Tool/Zone、Resource、Vision Guidance、Teach、Interlock</w:t>
            </w:r>
          </w:p>
        </w:tc>
      </w:tr>
      <w:tr>
        <w:tc>
          <w:tcPr>
            <w:tcW w:type="dxa" w:w="192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X-Ray 2D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Automation + Vision + Inspection + HMI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NoDrop Stream、节拍、Trigger/XRay安全、结果分层</w:t>
            </w:r>
          </w:p>
        </w:tc>
      </w:tr>
      <w:tr>
        <w:tc>
          <w:tcPr>
            <w:tcW w:type="dxa" w:w="192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工业CT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Automation + CT3D + Inspection + HMI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Projection完整性、Geometry/Calibration、Heavy Job、Volume</w:t>
            </w:r>
          </w:p>
        </w:tc>
      </w:tr>
      <w:tr>
        <w:tc>
          <w:tcPr>
            <w:tcW w:type="dxa" w:w="192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气密/测试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Automation + Inspection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DAQ/Instrument/Measurement、曲线判定、Retry vs Recheck</w:t>
            </w:r>
          </w:p>
        </w:tc>
      </w:tr>
      <w:tr>
        <w:tc>
          <w:tcPr>
            <w:tcW w:type="dxa" w:w="192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SCADA集中监控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Automation + HMI + Common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Variable/Alarm/Historian/Trend边界、10k+状态</w:t>
            </w:r>
          </w:p>
        </w:tc>
      </w:tr>
      <w:tr>
        <w:tc>
          <w:tcPr>
            <w:tcW w:type="dxa" w:w="192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IoT Edge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Automation + Common + Simulation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StoreForward、现场自治、Twin/Telemetry归属</w:t>
            </w:r>
          </w:p>
        </w:tc>
      </w:tr>
      <w:tr>
        <w:tc>
          <w:tcPr>
            <w:tcW w:type="dxa" w:w="192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多工位检测线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Automation + Inspection + Common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Partition/Station/Resource/MES幂等/Durable Recovery</w:t>
            </w:r>
          </w:p>
        </w:tc>
      </w:tr>
      <w:tr>
        <w:tc>
          <w:tcPr>
            <w:tcW w:type="dxa" w:w="192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Virtual Commissioning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Simulation + 其它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同一工程Real/Virtual/Replay/Hybrid、Fault/Golden</w:t>
            </w:r>
          </w:p>
        </w:tc>
      </w:tr>
      <w:tr>
        <w:tc>
          <w:tcPr>
            <w:tcW w:type="dxa" w:w="1928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Remote Engineering</w:t>
            </w:r>
          </w:p>
        </w:tc>
        <w:tc>
          <w:tcPr>
            <w:tcW w:type="dxa" w:w="300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Common + HMI + Target Runtime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ReadOnly、TTL、Target裁决、Audit、断线自治</w:t>
            </w:r>
          </w:p>
        </w:tc>
      </w:tr>
    </w:tbl>
    <w:p/>
    <w:p>
      <w:pPr>
        <w:pStyle w:val="Heading1"/>
      </w:pPr>
      <w:r>
        <w:t>27. 当前架构验证结论与尚未关闭的问题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当前 1 Platform + 6 Workbenches 经上述案例初步验证总体成立，尤其是 Automation→Vision/CT3D→Inspection 的分层自然；SCADA/IoT 能被 Automation + HMI + Common 吸收，无需新增一级 Workbench。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尚未关闭、必须用 ADR 继续定稿的重点：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PhysicalStation 与 InspectionStation 的归属与绑定模型。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Common.Geometry 的边界：哪些数学/坐标类型进入 Common，哪些保留专业域。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通用 Measurement Contract 与各专业测量结果的边界。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Thing/Twin 在 Automation、Simulation、Common 之间的最终所有权。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Cross-Workbench Invocation 的统一接口与同步/异步/Job 语义。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ResourceDescriptor/LifecycleKind/Compiler/Provider 的最终代码接口。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ReleaseManifest 对 Driver/Firmware/External Service 版本的追踪粒度。</w:t>
      </w:r>
    </w:p>
    <w:p>
      <w:pPr>
        <w:pStyle w:val="Heading1"/>
      </w:pPr>
      <w:r>
        <w:t>28. 明确禁止的反模式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以下做法一旦出现，应视为架构缺陷：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Designer 对象直接进入生产 Runtime。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HMI/Inspection/Script 直接调用 Vendor SDK。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所有消息都塞进一个 EventBus。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所有 Graph 都由同一个万能 Executor 解释。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为每台设备创建独占线程，或用 Task.Run 包装阻塞 API 假装异步。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业务代码随处 lock 共享设备，而不是 ResourceLease/ExecutionGroup。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用无限 Queue 解决吞吐不匹配。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把 Image/Volume 深拷贝通过每个 Node。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Real 和 Simulation 维护两套 Flow。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项目为了赶进度直接修改 Common Kernel，而不先做 Plugin/Capability/ADR。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将云端/管理端作为现场机台运行必要依赖。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用软件 Interlock 冒充 Safety System。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运行版本无法追溯到 Pipeline/Model/Recipe/Calibration/Plugin/Driver。</w:t>
      </w:r>
    </w:p>
    <w:p>
      <w:pPr>
        <w:pStyle w:val="Heading1"/>
      </w:pPr>
      <w:r>
        <w:t>29. 架构变更治理：ADR + Gate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任何改变以下内容的设计必须建立 ADR：一级 Workbench、Common 公共接口、Resource 元模型、Graph Contract、跨 Workbench 契约、ExecutionContext、ResourceLease、DataHandle、ReleaseManifest、Security/Remote、安全实时边界。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每个 ADR 至少记录：Context、Decision、Alternatives、Consequences、Compatibility/Migration、Cases Affected、Test Evidence。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架构 Gate 建议包含：</w:t>
        <w:br/>
        <w:t>- 是否把专业语义误放 Common？</w:t>
        <w:br/>
        <w:t>- 是否重复定义已有 Resource/Capability？</w:t>
        <w:br/>
        <w:t>- 是否能通过 Reference/Action/Invocation 而非直接依赖实现？</w:t>
        <w:br/>
        <w:t>- 是否支持 Save/Load/Version/Migration？</w:t>
        <w:br/>
        <w:t>- 是否有明确 Runtime/Provider 生命周期？</w:t>
        <w:br/>
        <w:t>- 是否支持 Simulation/Replay？</w:t>
        <w:br/>
        <w:t>- 是否有 Fault/Recovery 与 Diagnostics？</w:t>
        <w:br/>
        <w:t>- 是否能用至少两个 Case 证明通用性？</w:t>
      </w:r>
    </w:p>
    <w:p>
      <w:pPr>
        <w:pStyle w:val="Heading1"/>
      </w:pPr>
      <w:r>
        <w:t>30. 八本文档与本宪法的关系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八本文档应服从同一宪法：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>1. Common / Platform：只收公共机制和稳定契约。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>2. Automation：物理世界、设备级流程与Automation Execution Kernel。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>3. Simulation：Virtual/Replay/Hybrid/Fault/Scenario。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>4. HMI：表现、Binding、Action、专业Viewer。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>5. Vision：2D Typed DataFlow、模型、Worker、结果。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>6. CT3D：Projection/Geometry/Reconstruction/Volume/3D Analysis。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>7. Inspection：产品级 Durable Workflow 与质量闭环。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>8. 总体架构/场景/案例：解释1+6、Scene、Case、能力归属与演进。</w:t>
      </w:r>
    </w:p>
    <w:p>
      <w:pPr>
        <w:keepLines w:val="0"/>
      </w:pPr>
      <w:r>
        <w:rPr>
          <w:rFonts w:ascii="Noto Sans CJK SC" w:hAnsi="Noto Sans CJK SC" w:eastAsia="Noto Sans CJK SC"/>
          <w:b w:val="0"/>
          <w:sz w:val="21"/>
        </w:rPr>
        <w:t>后续详细设计如果发现宪法缺陷，应先通过 Case + ADR 修改本文件，再同步修改受影响文档，避免各本文档自行演化形成冲突。</w:t>
      </w:r>
    </w:p>
    <w:p>
      <w:pPr>
        <w:pStyle w:val="Heading1"/>
      </w:pPr>
      <w:r>
        <w:t>31. 结论：平台要长期守住的十条红线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>1. Resource 是工程基本单位，EmbeddedObject 不冒充顶层 Resource。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>2. 工程 Definition 与运行状态分离，但生命周期按资源性质选择，不做一刀切 Runtime 类。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>3. Common 只拥有机制，不拥有专业语义。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>4. 共用 Graph Contract，不共用专业 Runtime 语义。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>5. 跨 Workbench 只通过稳定 Reference/Action/State/Event/Stream/DataHandle/Result/Invocation 契约。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>6. Capability 优先于 Vendor 分支和深继承。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>7. Hard Real-Time 下沉控制器，CxVisual 不越界承诺确定性实时。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>8. Studio 与 Runtime 解耦，现场自治；发布的是 Manifest/Package，不是开发内存状态。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>9. Simulation 使用同一工程与契约；Case 是正式平台制品和回归资产。</w:t>
      </w:r>
    </w:p>
    <w:p>
      <w:pPr>
        <w:ind w:left="85" w:hanging="85"/>
      </w:pPr>
      <w:r>
        <w:rPr>
          <w:rFonts w:ascii="Noto Sans CJK SC" w:hAnsi="Noto Sans CJK SC" w:eastAsia="Noto Sans CJK SC"/>
          <w:b w:val="0"/>
          <w:sz w:val="20"/>
        </w:rPr>
        <w:t>10. 新能力先 Case/Plugin/Capability，只有满足高门槛才修改 Common 或增加一级 Workbench。</w:t>
      </w:r>
    </w:p>
    <w:p>
      <w:pPr>
        <w:pStyle w:val="Heading1"/>
      </w:pPr>
      <w:r>
        <w:t>附录 A：外部参考思想（非照搬）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835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参考</w:t>
            </w:r>
          </w:p>
        </w:tc>
        <w:tc>
          <w:tcPr>
            <w:tcW w:type="dxa" w:w="4535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借鉴点</w:t>
            </w:r>
          </w:p>
        </w:tc>
        <w:tc>
          <w:tcPr>
            <w:tcW w:type="dxa" w:w="3969"/>
            <w:vAlign w:val="top"/>
            <w:shd w:fill="33415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链接</w:t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OPC UA Part 3 Address Space Model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Node、Attributes、References、TypeDefinition 的信息模型思想。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https://reference.opcfoundation.org/specs/OPC-10000-3/4.4</w:t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CODESYS Task Configuration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Cyclic/Event/Priority/Watchdog 等工业任务模型思想。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https://content.helpme-codesys.com/</w:t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Beckhoff TwinCAT Real-Time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实时任务、周期、优先级、控制器/实时核边界思想。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https://infosys.beckhoff.com/</w:t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ROS 2 Executors / Callback Groups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Executor、Mutually Exclusive/Reentrant 执行约束思想。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https://docs.ros.org/</w:t>
            </w:r>
          </w:p>
        </w:tc>
      </w:tr>
      <w:tr>
        <w:tc>
          <w:tcPr>
            <w:tcW w:type="dxa" w:w="2835"/>
            <w:vAlign w:val="top"/>
            <w:shd w:fill="F8FAFC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Ignition Projects / Modules / System Architectures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工程资源、模块扩展、Gateway与项目部署思想。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172033"/>
                <w:sz w:val="17"/>
              </w:rPr>
              <w:t>https://docs.inductiveautomation.com/</w:t>
            </w:r>
          </w:p>
        </w:tc>
      </w:tr>
    </w:tbl>
    <w:p/>
    <w:p>
      <w:pPr>
        <w:pStyle w:val="Heading1"/>
      </w:pPr>
      <w:r>
        <w:t>附录 B：架构评审 20 问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它是 Resource 还是 EmbeddedObject？为什么？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它属于 Application / Resource / Runtime 哪个视角？是否混淆？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它是否真的属于 Common，还是某个 Workbench 的专业语义？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是否需要 Definition？是否需要 Resolve / Compile / Runtime / Provider？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是否存在稳定 ResourceRef，而不是对象指针/路径耦合？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是否通过 Capability 扩展，而不是 Vendor if/else？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跨 Workbench 是否只通过稳定 Contract？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Command / State / Event / Stream 是否混淆？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大数据是否通过 DataHandle/ArtifactRef？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Queue 是否有界？NoDrop 是否有背压/持久化？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共享设备是否使用 ResourceLease/Capacity/Partition，而不是散落 lock？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软实时/硬实时边界是否清楚？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Studio 关闭后 Target Runtime 是否能自治？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版本是否能追溯到 Manifest/Hash/Driver/Model/Calibration？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Simulation 是否复用同一工程与契约？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是否有 Fault/Recovery/Cancel/Watchdog 设计？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是否有 Diagnostics 可以解释“为什么没往下走”？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旧工程如何 Migration？插件/API版本如何兼容？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至少两个独立 Case 是否证明该能力值得进入平台？</w:t>
      </w:r>
    </w:p>
    <w:p>
      <w:pPr>
        <w:pStyle w:val="ListBullet"/>
        <w:spacing w:after="30"/>
      </w:pPr>
      <w:r>
        <w:rPr>
          <w:rFonts w:ascii="Noto Sans CJK SC" w:hAnsi="Noto Sans CJK SC" w:eastAsia="Noto Sans CJK SC"/>
          <w:b w:val="0"/>
          <w:sz w:val="20"/>
        </w:rPr>
        <w:t>如果修改 Common/Graph/Resource 元模型，是否已经建立 ADR 与回归证据？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B"/>
        <w:sz w:val="16"/>
      </w:rPr>
      <w:t>CxVisual Architecture Constitution  |  Review Baseline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748B"/>
        <w:sz w:val="16"/>
      </w:rPr>
      <w:t>CxVisual 平台灵魂与架构宪法  |  V1.0-Review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454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CxVisual 平台灵魂与架构宪法</dc:title>
  <dc:subject>CxVisual architecture constitution and platform design principles</dc:subject>
  <dc:creator>CxVisual Architecture Review</dc:creator>
  <cp:keywords>CxVisual, Common, Automation, Simulation, HMI, Vision, CT3D, Inspection, Resource, Runtime,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