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BioExplainR 面向 iMeta / 一区期刊的</w:t>
        <w:br/>
        <w:t>继续改造与投稿路线图</w:t>
      </w:r>
    </w:p>
    <w:p>
      <w:pPr>
        <w:pStyle w:val="Subtitle"/>
        <w:jc w:val="center"/>
      </w:pPr>
      <w:r>
        <w:t>基于完整 R 包源码、测试、研究脚本、用户指南与当前论文交付的系统审查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</w:tcPr>
          <w:p>
            <w:pPr>
              <w:spacing w:after="40" w:line="252" w:lineRule="auto"/>
            </w:pPr>
            <w:r/>
            <w:r>
              <w:rPr>
                <w:b/>
                <w:sz w:val="19"/>
              </w:rPr>
              <w:t>软件版本</w:t>
            </w:r>
          </w:p>
        </w:tc>
        <w:tc>
          <w:tcPr>
            <w:tcW w:type="dxa" w:w="5043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9"/>
              </w:rPr>
              <w:t>BioExplainR 0.3.1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40" w:line="252" w:lineRule="auto"/>
            </w:pPr>
            <w:r/>
            <w:r>
              <w:rPr>
                <w:b/>
                <w:sz w:val="19"/>
              </w:rPr>
              <w:t>审查日期</w:t>
            </w:r>
          </w:p>
        </w:tc>
        <w:tc>
          <w:tcPr>
            <w:tcW w:type="dxa" w:w="5043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9"/>
              </w:rPr>
              <w:t>2026-10-05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40" w:line="252" w:lineRule="auto"/>
            </w:pPr>
            <w:r/>
            <w:r>
              <w:rPr>
                <w:b/>
                <w:sz w:val="19"/>
              </w:rPr>
              <w:t>主要目标</w:t>
            </w:r>
          </w:p>
        </w:tc>
        <w:tc>
          <w:tcPr>
            <w:tcW w:type="dxa" w:w="5043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9"/>
              </w:rPr>
              <w:t>iMeta；备选为当前投稿年度核验后的一区计算生物学/生物信息学期刊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40" w:line="252" w:lineRule="auto"/>
            </w:pPr>
            <w:r/>
            <w:r>
              <w:rPr>
                <w:b/>
                <w:sz w:val="19"/>
              </w:rPr>
              <w:t>当前结论</w:t>
            </w:r>
          </w:p>
        </w:tc>
        <w:tc>
          <w:tcPr>
            <w:tcW w:type="dxa" w:w="5043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9"/>
              </w:rPr>
              <w:t>软件完成度高，论文证据仍不足以支撑 iMeta 的强主张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40" w:line="252" w:lineRule="auto"/>
            </w:pPr>
            <w:r/>
            <w:r>
              <w:rPr>
                <w:b/>
                <w:sz w:val="19"/>
              </w:rPr>
              <w:t>路线原则</w:t>
            </w:r>
          </w:p>
        </w:tc>
        <w:tc>
          <w:tcPr>
            <w:tcW w:type="dxa" w:w="5043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9"/>
              </w:rPr>
              <w:t>停止以增加函数数量为主，改为独立多组学、claim-level 评价和真实任务证据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2CC"/>
          </w:tcPr>
          <w:p>
            <w:pPr>
              <w:spacing w:after="40"/>
            </w:pPr>
            <w:r/>
            <w:r>
              <w:rPr>
                <w:b/>
                <w:color w:val="174B5D"/>
              </w:rPr>
              <w:t>关于“80% 几率”的边界</w:t>
              <w:br/>
            </w:r>
            <w:r>
              <w:t>任何人都不能根据软件审查保证某个期刊的录用概率。本路线把 80% 定义为内部“可投稿准备度”：在没有 P0 阻断项、完成独立评价、公开复现和伦理/作者信息核验后，团队有足够证据把稿件投向 iMeta 或一个匹配的一区备选。它不是录用承诺，也不是编辑决策的统计预测。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执行摘要</w:t>
      </w:r>
    </w:p>
    <w:p>
      <w:r>
        <w:t>BioExplainR 已经不是一个简单的 LLM wrapper。它有统一的 bio_context 中间表示、差异表达/富集/单细胞/PCA/图形/ExpressionSet 适配器、离线解释、可选模型调用、证据对象、声明验证、图形交叉核对、错误诊断、显式修复不变量、项目依赖图、报告和 Shiny 工作台。测试和包检查也已达到可以作为软件方法学论文基础的水平。</w:t>
      </w:r>
    </w:p>
    <w:p>
      <w:r>
        <w:t>当前论文的核心证据主要证明了三件事：R 适配器可以从完整输入计算确定性 facts；受限模型协议可以把已经提供的 facts 复制到结构化 claims；受控错误注入能够被声明/图形/不变量检查器识别。这些是重要的工程和机制结果，但不是模型自由文本质量、证据支持质量、多组学整合收益或真实用户收益的证明。</w:t>
      </w:r>
    </w:p>
    <w:p>
      <w:r>
        <w:t>要提高 iMeta 或其他一区期刊的竞争力，论文必须改成一个更窄、更强的科学主张：BioExplainR 是否能降低组学解释中的可检测统计错误、无支持生物学表述和证据错配，并在真实的整合组学工作流中留下可复核的证据链。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8F1E8"/>
          </w:tcPr>
          <w:p>
            <w:pPr>
              <w:spacing w:after="40"/>
            </w:pPr>
            <w:r/>
            <w:r>
              <w:rPr>
                <w:b/>
                <w:color w:val="174B5D"/>
              </w:rPr>
              <w:t>最重要的决策</w:t>
              <w:br/>
            </w:r>
            <w:r>
              <w:t>不要继续优先增加教育题目、更多连接预设或更多简单表格适配器。下一轮开发资源应优先投入：1）typed claim ledger；2）空间转录组与结构层证据链；3）MultiAssayExperiment/SpatialExperiment 真实案例；4）冻结后的独立 claim-level benchmark；5）正规专家/用户任务研究；6）公开仓库、DOI、容器和 CI。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一、审查范围与当前包画像</w:t>
      </w:r>
    </w:p>
    <w:p>
      <w:r>
        <w:t>本路线基于项目中可见的 R 包源码、NAMESPACE、DESCRIPTION、man/*.Rd、testthat 测试、inst/examples、架构/需求/评测/安装/工作台文档、研究脚本、当前 PAPER_DRAFT 与 SUPPLEMENTARY_MATERIAL，以及已经生成的用户指南和投稿审计文件。未把历史交接文件中的过期数字当作当前状态；以 2026-10-05 交接说明和当前文件内容为准。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515"/>
        <w:gridCol w:w="4025"/>
      </w:tblGrid>
      <w:tr>
        <w:trPr>
          <w:tblHeader/>
        </w:trPr>
        <w:tc>
          <w:tcPr>
            <w:tcW w:type="dxa" w:w="3362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7"/>
              </w:rPr>
              <w:t>审查对象</w:t>
            </w:r>
          </w:p>
        </w:tc>
        <w:tc>
          <w:tcPr>
            <w:tcW w:type="dxa" w:w="3362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3362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7"/>
              </w:rPr>
              <w:t>对投稿的意义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公开导出 API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74 个函数；另有 S3 print/as.list/format 方法</w:t>
            </w:r>
          </w:p>
        </w:tc>
        <w:tc>
          <w:tcPr>
            <w:tcW w:type="dxa" w:w="402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功能面很完整，但论文不能按函数数量证明科学创新</w:t>
            </w:r>
          </w:p>
        </w:tc>
      </w:tr>
      <w:tr>
        <w:tc>
          <w:tcPr>
            <w:tcW w:type="dxa" w:w="187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核心中间表示</w:t>
            </w:r>
          </w:p>
        </w:tc>
        <w:tc>
          <w:tcPr>
            <w:tcW w:type="dxa" w:w="351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bio_context：facts、top_features、plot_mapping、provenance、uncertainty、metadata</w:t>
            </w:r>
          </w:p>
        </w:tc>
        <w:tc>
          <w:tcPr>
            <w:tcW w:type="dxa" w:w="402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是最值得形成论文中心贡献的数据契约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对象覆盖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DE、富集、Seurat、SCE、SE、ExpressionSet、PCA、ggplot、细胞组成、generic</w:t>
            </w:r>
          </w:p>
        </w:tc>
        <w:tc>
          <w:tcPr>
            <w:tcW w:type="dxa" w:w="402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覆盖转录组和单细胞；尚未形成 iMeta 所需的跨模态主案例</w:t>
            </w:r>
          </w:p>
        </w:tc>
      </w:tr>
      <w:tr>
        <w:tc>
          <w:tcPr>
            <w:tcW w:type="dxa" w:w="187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模型接口</w:t>
            </w:r>
          </w:p>
        </w:tc>
        <w:tc>
          <w:tcPr>
            <w:tcW w:type="dxa" w:w="351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OpenAI-compatible、Anthropic、DeepSeek、Ollama、自定义预设</w:t>
            </w:r>
          </w:p>
        </w:tc>
        <w:tc>
          <w:tcPr>
            <w:tcW w:type="dxa" w:w="402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协议层成熟；不等于模型质量已经被证明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验证层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显式 claims、证据 ID、图形映射、修复不变量</w:t>
            </w:r>
          </w:p>
        </w:tc>
        <w:tc>
          <w:tcPr>
            <w:tcW w:type="dxa" w:w="402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机制贡献明确；自由文本和证据支持仍未完整评价</w:t>
            </w:r>
          </w:p>
        </w:tc>
      </w:tr>
      <w:tr>
        <w:tc>
          <w:tcPr>
            <w:tcW w:type="dxa" w:w="187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运行记录</w:t>
            </w:r>
          </w:p>
        </w:tc>
        <w:tc>
          <w:tcPr>
            <w:tcW w:type="dxa" w:w="351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警告、错误栈、对象摘要、包调用、版本和报告</w:t>
            </w:r>
          </w:p>
        </w:tc>
        <w:tc>
          <w:tcPr>
            <w:tcW w:type="dxa" w:w="402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有利于可复现和审计；尚未形成公开 artifact 标准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浏览器工作台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Shiny 本地运行，连接间工作区隔离</w:t>
            </w:r>
          </w:p>
        </w:tc>
        <w:tc>
          <w:tcPr>
            <w:tcW w:type="dxa" w:w="402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适合工作流展示；不是安全多租户服务</w:t>
            </w:r>
          </w:p>
        </w:tc>
      </w:tr>
      <w:tr>
        <w:tc>
          <w:tcPr>
            <w:tcW w:type="dxa" w:w="187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软件验证</w:t>
            </w:r>
          </w:p>
        </w:tc>
        <w:tc>
          <w:tcPr>
            <w:tcW w:type="dxa" w:w="351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525 项检查，524 通过、1 跳过；R CMD check OK</w:t>
            </w:r>
          </w:p>
        </w:tc>
        <w:tc>
          <w:tcPr>
            <w:tcW w:type="dxa" w:w="402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软件质量基础强，但不是外部方法效果证据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模型规模实验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120 个程序生成案例、480 facts、三种输入、三轮重复</w:t>
            </w:r>
          </w:p>
        </w:tc>
        <w:tc>
          <w:tcPr>
            <w:tcW w:type="dxa" w:w="402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主要是事实传递/序列化压力测试，不能作为自然数据泛化</w:t>
            </w:r>
          </w:p>
        </w:tc>
      </w:tr>
      <w:tr>
        <w:tc>
          <w:tcPr>
            <w:tcW w:type="dxa" w:w="187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人类评价</w:t>
            </w:r>
          </w:p>
        </w:tc>
        <w:tc>
          <w:tcPr>
            <w:tcW w:type="dxa" w:w="351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3 位评分者和 30 位功能评分的聚合材料</w:t>
            </w:r>
          </w:p>
        </w:tc>
        <w:tc>
          <w:tcPr>
            <w:tcW w:type="dxa" w:w="402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当前缺少招募、伦理、同意、任务正确率、对照和原始评分审计</w:t>
            </w:r>
          </w:p>
        </w:tc>
      </w:tr>
    </w:tbl>
    <w:p>
      <w:pPr>
        <w:spacing w:after="20"/>
      </w:pPr>
    </w:p>
    <w:p>
      <w:pPr>
        <w:pStyle w:val="Heading2"/>
      </w:pPr>
      <w:r>
        <w:t>1.1 当前功能模块审计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02"/>
        <w:gridCol w:w="2835"/>
        <w:gridCol w:w="1928"/>
      </w:tblGrid>
      <w:tr>
        <w:trPr>
          <w:tblHeader/>
        </w:trPr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7"/>
              </w:rPr>
              <w:t>已实现功能</w:t>
            </w:r>
          </w:p>
        </w:tc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7"/>
              </w:rPr>
              <w:t>当前证据</w:t>
            </w:r>
          </w:p>
        </w:tc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7"/>
              </w:rPr>
              <w:t>投稿定位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配置与 LLM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bio_config、预设、端点、重试、OpenAI/Anthropic、脱敏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mock 协议测试；少量真实调用</w:t>
            </w:r>
          </w:p>
        </w:tc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基础设施，不是主要创新</w:t>
            </w:r>
          </w:p>
        </w:tc>
      </w:tr>
      <w:tr>
        <w:tc>
          <w:tcPr>
            <w:tcW w:type="dxa" w:w="1247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对象适配</w:t>
            </w:r>
          </w:p>
        </w:tc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DESeq2/limma/edgeR、ORA/GSEA、Seurat/SCE/SE/ExpressionSet、PCA、ggplot</w:t>
            </w:r>
          </w:p>
        </w:tc>
        <w:tc>
          <w:tcPr>
            <w:tcW w:type="dxa" w:w="283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真实 airway、PBMC3k、pasilla、ALL、bladderbatch</w:t>
            </w:r>
          </w:p>
        </w:tc>
        <w:tc>
          <w:tcPr>
            <w:tcW w:type="dxa" w:w="192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核心方法；需要跨模态扩展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解释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R facts + 本地模板 + 可选模型分节解释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离线测试和结构化模型实验</w:t>
            </w:r>
          </w:p>
        </w:tc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中心工作流，但要用语义质量评价支撑</w:t>
            </w:r>
          </w:p>
        </w:tc>
      </w:tr>
      <w:tr>
        <w:tc>
          <w:tcPr>
            <w:tcW w:type="dxa" w:w="1247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证据</w:t>
            </w:r>
          </w:p>
        </w:tc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用户证据、Europe PMC、GO、Reactome、KEGG、UniProt、缓存</w:t>
            </w:r>
          </w:p>
        </w:tc>
        <w:tc>
          <w:tcPr>
            <w:tcW w:type="dxa" w:w="283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mock 端点和少量实端点</w:t>
            </w:r>
          </w:p>
        </w:tc>
        <w:tc>
          <w:tcPr>
            <w:tcW w:type="dxa" w:w="192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需要从可追溯 ID 升级为支持关系评价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验证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claim values/directions/path/citation、图形 cross-check、fix invariants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90 项声明挑战、9 项图形挑战、修复挑战</w:t>
            </w:r>
          </w:p>
        </w:tc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最有辨识度的技术贡献</w:t>
            </w:r>
          </w:p>
        </w:tc>
      </w:tr>
      <w:tr>
        <w:tc>
          <w:tcPr>
            <w:tcW w:type="dxa" w:w="1247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诊断</w:t>
            </w:r>
          </w:p>
        </w:tc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错误分类、栈、离线建议、可选模型建议</w:t>
            </w:r>
          </w:p>
        </w:tc>
        <w:tc>
          <w:tcPr>
            <w:tcW w:type="dxa" w:w="283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规则单元测试</w:t>
            </w:r>
          </w:p>
        </w:tc>
        <w:tc>
          <w:tcPr>
            <w:tcW w:type="dxa" w:w="192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需要真实错误 benchmark 才能成为结果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项目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依赖图、派生证据提示、跨结果一致性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循环/未知依赖和示例</w:t>
            </w:r>
          </w:p>
        </w:tc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适合承载多组学关系</w:t>
            </w:r>
          </w:p>
        </w:tc>
      </w:tr>
      <w:tr>
        <w:tc>
          <w:tcPr>
            <w:tcW w:type="dxa" w:w="1247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绘图与 Shiny</w:t>
            </w:r>
          </w:p>
        </w:tc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PCA、UMAP、富集、热图和本地工作台</w:t>
            </w:r>
          </w:p>
        </w:tc>
        <w:tc>
          <w:tcPr>
            <w:tcW w:type="dxa" w:w="283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浏览器 smoke test</w:t>
            </w:r>
          </w:p>
        </w:tc>
        <w:tc>
          <w:tcPr>
            <w:tcW w:type="dxa" w:w="192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展示层；不能作为主要科学贡献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教学评估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题库、随机、专家 rubric、学习分析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软件测试；没有正式学习实验</w:t>
            </w:r>
          </w:p>
        </w:tc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应从主论文主线降为扩展或后续研究</w:t>
            </w:r>
          </w:p>
        </w:tc>
      </w:tr>
    </w:tbl>
    <w:p>
      <w:pPr>
        <w:spacing w:after="20"/>
      </w:pPr>
    </w:p>
    <w:p>
      <w:pPr>
        <w:pStyle w:val="Heading1"/>
      </w:pPr>
      <w:r>
        <w:t>二、现阶段能发什么，为什么还不能直接冲 iMeta</w:t>
      </w:r>
    </w:p>
    <w:p>
      <w:r>
        <w:t>以当前软件和论文，最稳妥的描述是“高完成度、可复现的软件方法学工作，具有机制验证，但缺少独立的科学效果证据”。它已经明显超过只有 demo 和一个模型调用的软件短文，但还没有证明 BioExplainR 在真实组学研究中带来可量化的错误降低、时间收益、证据质量提高或跨模态整合价值。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6009"/>
      </w:tblGrid>
      <w:tr>
        <w:trPr>
          <w:tblHeader/>
        </w:trPr>
        <w:tc>
          <w:tcPr>
            <w:tcW w:type="dxa" w:w="3362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362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7"/>
              </w:rPr>
              <w:t>当前判断</w:t>
            </w:r>
          </w:p>
        </w:tc>
        <w:tc>
          <w:tcPr>
            <w:tcW w:type="dxa" w:w="3362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7"/>
              </w:rPr>
              <w:t>主要原因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软件工程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强</w:t>
            </w:r>
          </w:p>
        </w:tc>
        <w:tc>
          <w:tcPr>
            <w:tcW w:type="dxa" w:w="6009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模块化、可选依赖、脱敏、mock、R CMD check、浏览器检查和用户指南完整</w:t>
            </w:r>
          </w:p>
        </w:tc>
      </w:tr>
      <w:tr>
        <w:tc>
          <w:tcPr>
            <w:tcW w:type="dxa" w:w="170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可复现性</w:t>
            </w:r>
          </w:p>
        </w:tc>
        <w:tc>
          <w:tcPr>
            <w:tcW w:type="dxa" w:w="170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强但未闭环</w:t>
            </w:r>
          </w:p>
        </w:tc>
        <w:tc>
          <w:tcPr>
            <w:tcW w:type="dxa" w:w="6009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有结果和哈希，但公开仓库、DOI、固定环境和 CI 仍需正式发布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统计边界意识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强</w:t>
            </w:r>
          </w:p>
        </w:tc>
        <w:tc>
          <w:tcPr>
            <w:tcW w:type="dxa" w:w="6009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raw p/padj、pseudoreplication、ORA/NES、batch 和因果边界写得清楚</w:t>
            </w:r>
          </w:p>
        </w:tc>
      </w:tr>
      <w:tr>
        <w:tc>
          <w:tcPr>
            <w:tcW w:type="dxa" w:w="170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方法创新</w:t>
            </w:r>
          </w:p>
        </w:tc>
        <w:tc>
          <w:tcPr>
            <w:tcW w:type="dxa" w:w="170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中上</w:t>
            </w:r>
          </w:p>
        </w:tc>
        <w:tc>
          <w:tcPr>
            <w:tcW w:type="dxa" w:w="6009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事实契约、claim validation、plot cross-check、fix invariants 的组合有特色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模型能力证据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弱到中</w:t>
            </w:r>
          </w:p>
        </w:tc>
        <w:tc>
          <w:tcPr>
            <w:tcW w:type="dxa" w:w="6009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facts_only 的 100% 是事实传递，不是模型独立推理；自由文本错误已被负例证明</w:t>
            </w:r>
          </w:p>
        </w:tc>
      </w:tr>
      <w:tr>
        <w:tc>
          <w:tcPr>
            <w:tcW w:type="dxa" w:w="170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生物学价值</w:t>
            </w:r>
          </w:p>
        </w:tc>
        <w:tc>
          <w:tcPr>
            <w:tcW w:type="dxa" w:w="170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中等偏弱</w:t>
            </w:r>
          </w:p>
        </w:tc>
        <w:tc>
          <w:tcPr>
            <w:tcW w:type="dxa" w:w="6009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目前以对象接入和解释工作流为主，缺少真实多组学科学问题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人类收益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不足</w:t>
            </w:r>
          </w:p>
        </w:tc>
        <w:tc>
          <w:tcPr>
            <w:tcW w:type="dxa" w:w="6009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当前功能评分不是正式用户实验；伦理和任务终点不完整</w:t>
            </w:r>
          </w:p>
        </w:tc>
      </w:tr>
      <w:tr>
        <w:tc>
          <w:tcPr>
            <w:tcW w:type="dxa" w:w="170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iMeta 适配</w:t>
            </w:r>
          </w:p>
        </w:tc>
        <w:tc>
          <w:tcPr>
            <w:tcW w:type="dxa" w:w="170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当前中等；空间/结构案例完成后可强</w:t>
            </w:r>
          </w:p>
        </w:tc>
        <w:tc>
          <w:tcPr>
            <w:tcW w:type="dxa" w:w="6009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iMeta 需要整合组学/生物学应用主线，当前 package 主线仍偏 R 解释层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DECEC"/>
          </w:tcPr>
          <w:p>
            <w:pPr>
              <w:spacing w:after="40"/>
            </w:pPr>
            <w:r/>
            <w:r>
              <w:rPr>
                <w:b/>
                <w:color w:val="174B5D"/>
              </w:rPr>
              <w:t>投稿判断</w:t>
              <w:br/>
            </w:r>
            <w:r>
              <w:t>当前不建议把稿件包装成“LLM 生物信息学准确率达到 100%”。如果现在投稿，审稿人最可能指出：目标事实已由 R 计算并写入输入、案例是程序生成且与开发流程相关、证据只检查引用闭集、自由文本存在 shrinkage 语义错误、外部评分不是正式用户研究。</w:t>
            </w:r>
          </w:p>
        </w:tc>
      </w:tr>
    </w:tbl>
    <w:p>
      <w:pPr>
        <w:spacing w:after="20"/>
      </w:pPr>
    </w:p>
    <w:p>
      <w:pPr>
        <w:pStyle w:val="Heading2"/>
      </w:pPr>
      <w:r>
        <w:t>2.1 iMeta 的正确切入角度</w:t>
      </w:r>
    </w:p>
    <w:p>
      <w:r>
        <w:t>iMeta 目标应当不是“我有一个功能很多的 R 包”，而是“整合组学结果的解释容易发生事实、统计和证据错配；BioExplainR 用一个可审计的数据契约和 claim ledger 把这些风险分开，并在跨模态案例中验证风险是否下降”。</w:t>
      </w:r>
    </w:p>
    <w:p>
      <w:pPr>
        <w:pStyle w:val="ListBullet"/>
        <w:spacing w:after="60"/>
      </w:pPr>
      <w:r>
        <w:t>主科学问题：在空间转录组与其他组学/结构层信息的联合解释中，确定性 facts、空间关系、证据关系和显式验证能否降低 LLM 的可检测错误？</w:t>
      </w:r>
    </w:p>
    <w:p>
      <w:pPr>
        <w:pStyle w:val="ListBullet"/>
        <w:spacing w:after="60"/>
      </w:pPr>
      <w:r>
        <w:t>主技术贡献：将不同 R 对象和模态统一为带来源状态、样本对齐、设计信息、事实路径和不确定性的 context；将模型文本拆成可核对的 typed claims。</w:t>
      </w:r>
    </w:p>
    <w:p>
      <w:pPr>
        <w:pStyle w:val="ListBullet"/>
        <w:spacing w:after="60"/>
      </w:pPr>
      <w:r>
        <w:t>主应用贡献：在一个真实空间组学案例上展示从 spot/区域接入、空间统计、候选靶点筛选、结构计算结果、证据追踪到报告输出的完整链条。</w:t>
      </w:r>
    </w:p>
    <w:p>
      <w:pPr>
        <w:pStyle w:val="ListBullet"/>
        <w:spacing w:after="60"/>
      </w:pPr>
      <w:r>
        <w:t>必须明确的边界：不声称发现新的生物学机制，不声称模型具有普遍推理能力，不声称本地 callr 进程是安全沙箱，不声称引用 ID 证明了文章支持关系。</w:t>
      </w:r>
    </w:p>
    <w:p>
      <w:pPr>
        <w:pStyle w:val="Heading1"/>
      </w:pPr>
      <w:r>
        <w:t>三、阻断项清单：P0 必须解决，P1 强烈建议，P2 可延后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268"/>
        <w:gridCol w:w="3402"/>
        <w:gridCol w:w="3175"/>
      </w:tblGrid>
      <w:tr>
        <w:trPr>
          <w:tblHeader/>
        </w:trPr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阻断项</w:t>
            </w:r>
          </w:p>
        </w:tc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现有证据/代码位置</w:t>
            </w:r>
          </w:p>
        </w:tc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通过标准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缺少真正独立的自由文本/生物学 claim benchmark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bio_validate_explanation 只核对显式 value/direction/path/citation；当前规模实验把 facts 直接传给模型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冻结外部 test set；至少 100 个专家标注 claims；报告 unsupported、statistical、biological、citation 指标和 CI</w:t>
            </w:r>
          </w:p>
        </w:tc>
      </w:tr>
      <w:tr>
        <w:tc>
          <w:tcPr>
            <w:tcW w:type="dxa" w:w="567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缺少 iMeta 风格空间/跨模态真实案例</w:t>
            </w:r>
          </w:p>
        </w:tc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当前 adapter 以 bulk RNA、单细胞、表达对象和结果表为主；没有 SpatialExperiment 或结构层主流程</w:t>
            </w:r>
          </w:p>
        </w:tc>
        <w:tc>
          <w:tcPr>
            <w:tcW w:type="dxa" w:w="317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至少一个真实 SpatialExperiment/Seurat spatial 案例；空间统计、区域/样本关系、结构层候选和证据链全部可复现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当前 100% 结果容易被解释为答案泄漏/事实复制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research/run_main_scale_experiment.R:41-46, 200-231；目标 facts 来自 BioExplainR context 并写入 prompt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将 transport fidelity 与 scientific interpretation 分为两个 endpoint；后者不把答案直接作为待复制 claim 输入</w:t>
            </w:r>
          </w:p>
        </w:tc>
      </w:tr>
      <w:tr>
        <w:tc>
          <w:tcPr>
            <w:tcW w:type="dxa" w:w="567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证据只验证 ID 闭集，不验证支持关系</w:t>
            </w:r>
          </w:p>
        </w:tc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R/explanation-validation.R:116-121；evidence-live 主要产生检索记录和定义</w:t>
            </w:r>
          </w:p>
        </w:tc>
        <w:tc>
          <w:tcPr>
            <w:tcW w:type="dxa" w:w="317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建立支持/矛盾/无关/定义-only 标注；专家盲评 evidence-to-claim support precision/recall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人类评价不能作为当前正式用户研究结果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docs/PAPER_DRAFT.md:102-106；SUPPLEMENTARY S5 明确缺招募、伦理、同意、补偿和任务终点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取得真实伦理审批/豁免和同意记录；预注册；随机对照或至少专家盲评的任务正确率和时间</w:t>
            </w:r>
          </w:p>
        </w:tc>
      </w:tr>
      <w:tr>
        <w:tc>
          <w:tcPr>
            <w:tcW w:type="dxa" w:w="567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当前文档和审计仍有历史状态混杂</w:t>
            </w:r>
          </w:p>
        </w:tc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README.md 仍保留 6 案例/54 请求；research/audit_results.R 仍核对旧 fact_scores.csv 225 行/54 调用</w:t>
            </w:r>
          </w:p>
        </w:tc>
        <w:tc>
          <w:tcPr>
            <w:tcW w:type="dxa" w:w="317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所有 README、audit、manifest、论文、补充材料只引用一个冻结版本；旧结果移动到明确 historical 目录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默认 JSON 序列化精度没有形成正式契约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R/utils.R:.json 使用 digits=10；规模脚本另行使用 digits=17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内部 facts JSON 默认保留 17 位或显式 precision；精度回归测试覆盖 PCA、极小 p 和零值</w:t>
            </w:r>
          </w:p>
        </w:tc>
      </w:tr>
      <w:tr>
        <w:tc>
          <w:tcPr>
            <w:tcW w:type="dxa" w:w="567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typed claim schema 不够严格</w:t>
            </w:r>
          </w:p>
        </w:tc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当前 claims 主要检查 fact/value/direction/evidence；自由 prose 仍未结构化</w:t>
            </w:r>
          </w:p>
        </w:tc>
        <w:tc>
          <w:tcPr>
            <w:tcW w:type="dxa" w:w="317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加入 claim_type、fact_path、value、unit、direction、evidence_role、scope、status，拒绝未知字段或保留 unverified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大对象隐私保护是约定，不是全面审计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R/utils.R:.object_summary、bio_context_payload；top feature/metadata 仍可能含用户自定义标识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敏感字段注入测试、payload allowlist、manifest 记录发送字段和 hash，明确脱敏边界</w:t>
            </w:r>
          </w:p>
        </w:tc>
      </w:tr>
      <w:tr>
        <w:tc>
          <w:tcPr>
            <w:tcW w:type="dxa" w:w="567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修复执行不是 OS sandbox</w:t>
            </w:r>
          </w:p>
        </w:tc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R/validate.R:163-167；Shiny 同样共享文件/网络权限</w:t>
            </w:r>
          </w:p>
        </w:tc>
        <w:tc>
          <w:tcPr>
            <w:tcW w:type="dxa" w:w="317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论文删除安全沙箱暗示；研究代理使用 Docker/Apptainer/no-network/no-write baseline，并单独审计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错误诊断和图形核对缺少自然案例评价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当前主要是规则测试和人工注入 challenge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真实或盲法构造的错误/图形集，报告 top-1/top-3、false-pass 和 not-checkable coverage</w:t>
            </w:r>
          </w:p>
        </w:tc>
      </w:tr>
      <w:tr>
        <w:tc>
          <w:tcPr>
            <w:tcW w:type="dxa" w:w="567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教学和 Shiny 功能分散主线</w:t>
            </w:r>
          </w:p>
        </w:tc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teaching.R、evaluation.R、shiny-app.R 功能齐全但不是同一科学终点</w:t>
            </w:r>
          </w:p>
        </w:tc>
        <w:tc>
          <w:tcPr>
            <w:tcW w:type="dxa" w:w="317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主论文降为扩展模块；教学效果另文或补充研究，不用功能评分支撑主结论</w:t>
            </w:r>
          </w:p>
        </w:tc>
      </w:tr>
    </w:tbl>
    <w:p>
      <w:pPr>
        <w:spacing w:after="20"/>
      </w:pPr>
    </w:p>
    <w:p>
      <w:pPr>
        <w:pStyle w:val="Heading1"/>
      </w:pPr>
      <w:r>
        <w:t>四、必须先做的软件改造</w:t>
      </w:r>
    </w:p>
    <w:p>
      <w:r>
        <w:t>下列改造是为了让 BioExplainR 能够被严格评价，而不是为了堆功能。每项都需要代码、测试、文档和研究记录同时更新。</w:t>
      </w:r>
    </w:p>
    <w:p>
      <w:pPr>
        <w:pStyle w:val="Heading2"/>
      </w:pPr>
      <w:r>
        <w:t>4.1 建立 typed claim ledger</w:t>
      </w:r>
    </w:p>
    <w:p>
      <w:r>
        <w:t>当前验证器能判断“某个声明的数字是否等于某个 fact”，但不能系统区分统计事实、统计解释、生物学关联、因果断言和证据支持。建议把 claims 从任意模型返回的 list 升级为固定 schema，并让报告显示每个 claim 的状态和检查范围。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835"/>
        <w:gridCol w:w="2268"/>
        <w:gridCol w:w="3175"/>
      </w:tblGrid>
      <w:tr>
        <w:trPr>
          <w:tblHeader/>
        </w:trPr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必须含义</w:t>
            </w:r>
          </w:p>
        </w:tc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验证方式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稳定的 claim 标识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claim_001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唯一且可追踪</w:t>
            </w:r>
          </w:p>
        </w:tc>
      </w:tr>
      <w:tr>
        <w:tc>
          <w:tcPr>
            <w:tcW w:type="dxa" w:w="113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claim_type</w:t>
            </w:r>
          </w:p>
        </w:tc>
        <w:tc>
          <w:tcPr>
            <w:tcW w:type="dxa" w:w="283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事实、统计解释、关联、因果、证据支持、设计、图形映射</w:t>
            </w:r>
          </w:p>
        </w:tc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statistical_fact</w:t>
            </w:r>
          </w:p>
        </w:tc>
        <w:tc>
          <w:tcPr>
            <w:tcW w:type="dxa" w:w="317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枚举值；未知类型为 unverified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模型或模板生成的文字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999 features pass threshold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不自动视为正确</w:t>
            </w:r>
          </w:p>
        </w:tc>
      </w:tr>
      <w:tr>
        <w:tc>
          <w:tcPr>
            <w:tcW w:type="dxa" w:w="113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fact_path</w:t>
            </w:r>
          </w:p>
        </w:tc>
        <w:tc>
          <w:tcPr>
            <w:tcW w:type="dxa" w:w="283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指向 context facts 的路径</w:t>
            </w:r>
          </w:p>
        </w:tc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facts.n_significant</w:t>
            </w:r>
          </w:p>
        </w:tc>
        <w:tc>
          <w:tcPr>
            <w:tcW w:type="dxa" w:w="317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路径存在且值类型可比较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value/unit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标量值和单位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999 / features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数字容差、字符串和单位检查</w:t>
            </w:r>
          </w:p>
        </w:tc>
      </w:tr>
      <w:tr>
        <w:tc>
          <w:tcPr>
            <w:tcW w:type="dxa" w:w="113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direction</w:t>
            </w:r>
          </w:p>
        </w:tc>
        <w:tc>
          <w:tcPr>
            <w:tcW w:type="dxa" w:w="283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仅在有符号效应时使用</w:t>
            </w:r>
          </w:p>
        </w:tc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up</w:t>
            </w:r>
          </w:p>
        </w:tc>
        <w:tc>
          <w:tcPr>
            <w:tcW w:type="dxa" w:w="317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和事实符号或预设方向比较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样本、模态、比较和阈值范围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airway; trt vs untrt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与 metadata/provenance 对齐</w:t>
            </w:r>
          </w:p>
        </w:tc>
      </w:tr>
      <w:tr>
        <w:tc>
          <w:tcPr>
            <w:tcW w:type="dxa" w:w="113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evidence</w:t>
            </w:r>
          </w:p>
        </w:tc>
        <w:tc>
          <w:tcPr>
            <w:tcW w:type="dxa" w:w="283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证据 ID 和证据角色</w:t>
            </w:r>
          </w:p>
        </w:tc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supports / definition_only</w:t>
            </w:r>
          </w:p>
        </w:tc>
        <w:tc>
          <w:tcPr>
            <w:tcW w:type="dxa" w:w="317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闭集 + 专家支持关系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pass/fail/partial/unverified/not_assessable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partial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验证器填充，模型不能自行声明 pass</w:t>
            </w:r>
          </w:p>
        </w:tc>
      </w:tr>
    </w:tbl>
    <w:p>
      <w:pPr>
        <w:spacing w:after="20"/>
      </w:pPr>
    </w:p>
    <w:p>
      <w:pPr>
        <w:pStyle w:val="CodeRoadmap"/>
      </w:pPr>
      <w:r>
        <w:t># 建议新增的公开接口方向（名称可调整）</w:t>
        <w:br/>
        <w:t>bio_claim_ledger(explanation)</w:t>
        <w:br/>
        <w:t>bio_validate_claims(explanation, policy = bio_claim_policy())</w:t>
        <w:br/>
        <w:t>bio_evidence_support(claim, evidence, annotation = c("supports", "contradicts", "definition_only", "irrelevant"))</w:t>
        <w:br/>
        <w:t>bio_context_manifest(ctx, include_hashes = TRUE)</w:t>
      </w:r>
    </w:p>
    <w:p>
      <w:r>
        <w:t>最低实现要求：模型输出中没有 fact_path 的自由文本必须显式标为 unverified；causal claim 默认不允许自动 pass；definition_only 证据不能满足 experiment_support；claim scope 必须和物种、组织、比较方向、模态一致。</w:t>
      </w:r>
    </w:p>
    <w:p>
      <w:pPr>
        <w:pStyle w:val="Heading2"/>
      </w:pPr>
      <w:r>
        <w:t>4.2 增加跨模态对象契约</w:t>
      </w:r>
    </w:p>
    <w:p>
      <w:r>
        <w:t>iMeta 的最小软件增量不是再支持一种结果表，而是能够处理“同一组样本的多个模态”。建议优先支持 SpatialExperiment、Seurat 的空间对象/图像和 MultiAssayExperiment，并把各模态 context 接入现有 bio_project。空间转录组应成为主入口，结构计算作为经过 provenance 和验证的外部证据层。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4195"/>
      </w:tblGrid>
      <w:tr>
        <w:trPr>
          <w:tblHeader/>
        </w:trPr>
        <w:tc>
          <w:tcPr>
            <w:tcW w:type="dxa" w:w="3362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362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7"/>
              </w:rPr>
              <w:t>最小实现</w:t>
            </w:r>
          </w:p>
        </w:tc>
        <w:tc>
          <w:tcPr>
            <w:tcW w:type="dxa" w:w="3362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7"/>
              </w:rPr>
              <w:t>不能省略的检查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模态注册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transcriptome、methylation/CNV、proteome、metabolome、microbiome 至少两个</w:t>
            </w:r>
          </w:p>
        </w:tc>
        <w:tc>
          <w:tcPr>
            <w:tcW w:type="dxa" w:w="419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每个模态的 class、source package、analysis type、feature unit</w:t>
            </w:r>
          </w:p>
        </w:tc>
      </w:tr>
      <w:tr>
        <w:tc>
          <w:tcPr>
            <w:tcW w:type="dxa" w:w="181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样本对齐</w:t>
            </w:r>
          </w:p>
        </w:tc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统一 sample map 和交集/缺失表</w:t>
            </w:r>
          </w:p>
        </w:tc>
        <w:tc>
          <w:tcPr>
            <w:tcW w:type="dxa" w:w="419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重复 sample ID、模态缺失、样本顺序、配对关系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设计信息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group、batch、donor、timepoint、paired unit</w:t>
            </w:r>
          </w:p>
        </w:tc>
        <w:tc>
          <w:tcPr>
            <w:tcW w:type="dxa" w:w="419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生物学重复不是 feature/cell；组别和 batch 可识别性</w:t>
            </w:r>
          </w:p>
        </w:tc>
      </w:tr>
      <w:tr>
        <w:tc>
          <w:tcPr>
            <w:tcW w:type="dxa" w:w="181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结果依赖</w:t>
            </w:r>
          </w:p>
        </w:tc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模态内和模态间依赖边</w:t>
            </w:r>
          </w:p>
        </w:tc>
        <w:tc>
          <w:tcPr>
            <w:tcW w:type="dxa" w:w="419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派生结果不当作独立验证；同一输入的证据相关性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跨模态结论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agreement、discordance、modality-specific</w:t>
            </w:r>
          </w:p>
        </w:tc>
        <w:tc>
          <w:tcPr>
            <w:tcW w:type="dxa" w:w="419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方向一致不等于因果；缺失模态不能被模型补全</w:t>
            </w:r>
          </w:p>
        </w:tc>
      </w:tr>
      <w:tr>
        <w:tc>
          <w:tcPr>
            <w:tcW w:type="dxa" w:w="181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报告</w:t>
            </w:r>
          </w:p>
        </w:tc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每模态 facts + joint checks + claim ledger</w:t>
            </w:r>
          </w:p>
        </w:tc>
        <w:tc>
          <w:tcPr>
            <w:tcW w:type="dxa" w:w="419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所有结论能回到对象、路径和证据</w:t>
            </w:r>
          </w:p>
        </w:tc>
      </w:tr>
    </w:tbl>
    <w:p>
      <w:pPr>
        <w:spacing w:after="20"/>
      </w:pPr>
    </w:p>
    <w:p>
      <w:r>
        <w:t>推荐的第一套真实案例：一个有匹配样本的转录组 + DNA 甲基化/CNV 或转录组 + 蛋白组数据集；如果能找到样本级匹配的微生物组 + 代谢组 + 转录组数据，iMeta 相关性更强。数据集必须在开发前冻结，记录下载 URL、版本、SHA-256、样本交集和所有排除规则。不要为了“多组学”把不匹配的公开数据拼在一起。</w:t>
      </w:r>
    </w:p>
    <w:p>
      <w:pPr>
        <w:pStyle w:val="Heading2"/>
      </w:pPr>
      <w:r>
        <w:t>4.3 空间转录组与分子对接：可以结合，但必须分层</w:t>
      </w:r>
    </w:p>
    <w:p>
      <w:r>
        <w:t>空间转录组和分子对接确实是当前很有吸引力的研究热点，但二者回答的是不同问题：空间转录组回答“哪些分子信号在什么组织位置、哪些细胞/区域共同出现”；分子对接回答“给定受体结构、配体结构和参数时，某种结合构象在计算上是否可行”。空间共定位加上较好的 docking score 不能直接证明真实结合、通路激活、药效或因果机制。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3F5"/>
          </w:tcPr>
          <w:p>
            <w:pPr>
              <w:spacing w:after="40"/>
            </w:pPr>
            <w:r/>
            <w:r>
              <w:rPr>
                <w:b/>
                <w:color w:val="174B5D"/>
              </w:rPr>
              <w:t>推荐论文定位</w:t>
              <w:br/>
            </w:r>
            <w:r>
              <w:t>Spatially resolved and structure-aware evidence-constrained interpretation of omics results。空间层负责定位和组织上下文，结构层负责候选相互作用的计算可行性，文献/数据库负责知识背景；BioExplainR 负责把每层事实、限制和验证状态连接起来。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402"/>
        <w:gridCol w:w="3005"/>
        <w:gridCol w:w="2268"/>
      </w:tblGrid>
      <w:tr>
        <w:trPr>
          <w:tblHeader/>
        </w:trPr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建议支持</w:t>
            </w:r>
          </w:p>
        </w:tc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必须计算的 facts</w:t>
            </w:r>
          </w:p>
        </w:tc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不能自动推出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空间对象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SpatialExperiment、Seurat spatial assay/image、空间 metadata</w:t>
            </w:r>
          </w:p>
        </w:tc>
        <w:tc>
          <w:tcPr>
            <w:tcW w:type="dxa" w:w="300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spot/cell 数、切片/样本、坐标范围、组织覆盖、QC、区域/cluster、邻域图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坐标接近不等于细胞互作或谱系关系</w:t>
            </w:r>
          </w:p>
        </w:tc>
      </w:tr>
      <w:tr>
        <w:tc>
          <w:tcPr>
            <w:tcW w:type="dxa" w:w="147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空间统计</w:t>
            </w:r>
          </w:p>
        </w:tc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已有空间变异基因、空间 DE、邻域/共定位、Moran's I/Geary's C 等结果</w:t>
            </w:r>
          </w:p>
        </w:tc>
        <w:tc>
          <w:tcPr>
            <w:tcW w:type="dxa" w:w="300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统计方法、空间邻接定义、显著特征、效应方向、样本/切片分母</w:t>
            </w:r>
          </w:p>
        </w:tc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单切片显著不等于跨患者可重复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候选分子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ligand/receptor、靶点、药物或代谢物候选表</w:t>
            </w:r>
          </w:p>
        </w:tc>
        <w:tc>
          <w:tcPr>
            <w:tcW w:type="dxa" w:w="300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ID 类型、物种、区域表达、共表达、来源、筛选规则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表达共现不等于物理结合</w:t>
            </w:r>
          </w:p>
        </w:tc>
      </w:tr>
      <w:tr>
        <w:tc>
          <w:tcPr>
            <w:tcW w:type="dxa" w:w="147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结构计算</w:t>
            </w:r>
          </w:p>
        </w:tc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AutoDock Vina/smina/GNINA 或 HADDOCK 等外部结果解析</w:t>
            </w:r>
          </w:p>
        </w:tc>
        <w:tc>
          <w:tcPr>
            <w:tcW w:type="dxa" w:w="300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引擎版本、结构 ID、预处理、搜索空间、score 分布、pose cluster、RMSD、接触残基、对照/decoy</w:t>
            </w:r>
          </w:p>
        </w:tc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docking score 不等于实验结合自由能或药效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证据图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空间 claim → 结构 claim → 文献/数据库 claim 的依赖图</w:t>
            </w:r>
          </w:p>
        </w:tc>
        <w:tc>
          <w:tcPr>
            <w:tcW w:type="dxa" w:w="300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每条 claim 的类型、scope、evidence role、验证状态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多层证据一致不自动证明机制</w:t>
            </w:r>
          </w:p>
        </w:tc>
      </w:tr>
    </w:tbl>
    <w:p>
      <w:pPr>
        <w:spacing w:after="20"/>
      </w:pPr>
    </w:p>
    <w:p>
      <w:r>
        <w:t>优先级建议：第一阶段先做 SpatialExperiment/Seurat spatial 的对象与结果适配；第二阶段接收外部 docking 输出和 provenance，不在 R 包内部手写 docking 引擎；第三阶段做空间-结构 claim graph 和独立专家 benchmark。这样可以利用热点，但不会把一个不可验证的结构模型变成软件的未经审查结论。</w:t>
      </w:r>
    </w:p>
    <w:p>
      <w:pPr>
        <w:pStyle w:val="Heading3"/>
      </w:pPr>
      <w:r>
        <w:t>4.3.1 空间转录组软件接口</w:t>
      </w:r>
    </w:p>
    <w:p>
      <w:pPr>
        <w:pStyle w:val="ListBullet"/>
        <w:spacing w:after="60"/>
      </w:pPr>
      <w:r>
        <w:t>新增 SpatialExperiment adapter：读取 spatialCoords、imgData、colData、assayNames、区域/cluster、sample/section/donor 信息；默认不向模型发送完整坐标、图像或 barcode。</w:t>
      </w:r>
    </w:p>
    <w:p>
      <w:pPr>
        <w:pStyle w:val="ListBullet"/>
        <w:spacing w:after="60"/>
      </w:pPr>
      <w:r>
        <w:t>支持已有结果表：空间变异基因、空间 DE、区域 marker、邻域富集、ligand-receptor 候选和 deconvolution 输出；记录方法、空间邻接定义和统计分母。</w:t>
      </w:r>
    </w:p>
    <w:p>
      <w:pPr>
        <w:pStyle w:val="ListBullet"/>
        <w:spacing w:after="60"/>
      </w:pPr>
      <w:r>
        <w:t>新增空间 facts：每个 section 的 spot/cell 数、坐标范围、组织覆盖率、缺失坐标、每个样本/区域的观察数、空间统计阈值和多重检验方法。</w:t>
      </w:r>
    </w:p>
    <w:p>
      <w:pPr>
        <w:pStyle w:val="ListBullet"/>
        <w:spacing w:after="60"/>
      </w:pPr>
      <w:r>
        <w:t>新增 spatial cross-check：检查 spot/region ID 对齐、坐标和 metadata 对齐、图形映射、区域子集和结果表来源；复杂空间图形无法核查时返回 not_checkable。</w:t>
      </w:r>
    </w:p>
    <w:p>
      <w:pPr>
        <w:pStyle w:val="ListBullet"/>
        <w:spacing w:after="60"/>
      </w:pPr>
      <w:r>
        <w:t>所有空间生物学 claim 都要带 scope：sample/section、region、cell type、species、assay 和 comparison；没有 scope 的 claim 不自动通过。</w:t>
      </w:r>
    </w:p>
    <w:p>
      <w:pPr>
        <w:pStyle w:val="CodeRoadmap"/>
      </w:pPr>
      <w:r>
        <w:t># 建议接口方向；具体名称可以在 API 设计评审后确定</w:t>
        <w:br/>
        <w:t>bio_spatial_context(x, sample_col = NULL, section_col = NULL, region_col = NULL)</w:t>
        <w:br/>
        <w:t>bio_spatial_neighbors(x, method = c("stored", "knn", "radius"))</w:t>
        <w:br/>
        <w:t>bio_spatial_cross_check(plot, source, allow_subset = FALSE)</w:t>
        <w:br/>
        <w:t>bio_docking_context(result, receptor = NULL, ligand = NULL, provenance = list())</w:t>
        <w:br/>
        <w:t>bio_integrate_spatial_structure(spatial_ctx, docking_ctx, evidence = NULL)</w:t>
      </w:r>
    </w:p>
    <w:p>
      <w:pPr>
        <w:pStyle w:val="Heading3"/>
      </w:pPr>
      <w:r>
        <w:t>4.3.2 分子对接不能只写成一个 score</w:t>
      </w:r>
    </w:p>
    <w:p>
      <w:pPr>
        <w:pStyle w:val="ListBullet"/>
        <w:spacing w:after="60"/>
      </w:pPr>
      <w:r>
        <w:t>区分小分子-蛋白对接和蛋白-蛋白对接；二者的输入、搜索空间、评分和验证方式不同。</w:t>
      </w:r>
    </w:p>
    <w:p>
      <w:pPr>
        <w:pStyle w:val="ListBullet"/>
        <w:spacing w:after="60"/>
      </w:pPr>
      <w:r>
        <w:t>R 包负责读取和审计外部引擎输出，不负责在模型生成代码的情况下自动执行 docking。外部程序、容器、命令、结构文件 hash 和参数必须进入 provenance。</w:t>
      </w:r>
    </w:p>
    <w:p>
      <w:pPr>
        <w:pStyle w:val="ListBullet"/>
        <w:spacing w:after="60"/>
      </w:pPr>
      <w:r>
        <w:t>保存 top pose、score 分布、聚类大小、RMSD、界面残基、氢键/疏水接触和 decoy/negative-control 结果；只有一个最佳 score 不足以形成 claim。</w:t>
      </w:r>
    </w:p>
    <w:p>
      <w:pPr>
        <w:pStyle w:val="ListBullet"/>
        <w:spacing w:after="60"/>
      </w:pPr>
      <w:r>
        <w:t>明确 docking score 的尺度和引擎版本，不能跨引擎直接排序；不要把 score 直接写成 binding affinity 或 ΔG。</w:t>
      </w:r>
    </w:p>
    <w:p>
      <w:pPr>
        <w:pStyle w:val="ListBullet"/>
        <w:spacing w:after="60"/>
      </w:pPr>
      <w:r>
        <w:t>候选选择必须在 docking 前冻结，或使用独立的候选发现集和 test 集；否则空间表达高、文献强和 docking 好的候选会产生严重选择偏倚。</w:t>
      </w:r>
    </w:p>
    <w:p>
      <w:pPr>
        <w:pStyle w:val="ListBullet"/>
        <w:spacing w:after="60"/>
      </w:pPr>
      <w:r>
        <w:t>结构缺失、低分辨率、配体质子化、柔性、口袋定义和蛋白构象都会影响结果，均应进入 uncertainty。</w:t>
      </w:r>
    </w:p>
    <w:p>
      <w:pPr>
        <w:pStyle w:val="Heading3"/>
      </w:pPr>
      <w:r>
        <w:t>4.3.3 空间 + docking 的主案例设计</w:t>
      </w:r>
    </w:p>
    <w:p>
      <w:r>
        <w:t>一个合格的主案例应是一个可审计的候选优先级工作流，而不是“空间图 + docking 图”的拼图。建议流程如下：</w:t>
      </w:r>
    </w:p>
    <w:p>
      <w:pPr>
        <w:pStyle w:val="ListNumber"/>
        <w:spacing w:after="60"/>
      </w:pPr>
      <w:r>
        <w:t>从冻结的空间数据中定义样本、切片、区域和生物学重复，预先规定 QC、空间邻接和显著性阈值。</w:t>
      </w:r>
    </w:p>
    <w:p>
      <w:pPr>
        <w:pStyle w:val="ListNumber"/>
        <w:spacing w:after="60"/>
      </w:pPr>
      <w:r>
        <w:t>从空间差异或空间变异结果得到候选 ligand/receptor/target；记录全部候选和排除原因，不只保存最后一个漂亮候选。</w:t>
      </w:r>
    </w:p>
    <w:p>
      <w:pPr>
        <w:pStyle w:val="ListNumber"/>
        <w:spacing w:after="60"/>
      </w:pPr>
      <w:r>
        <w:t>将基因/蛋白/配体 ID 映射到物种一致的结构记录，记录 PDB/mmCIF/SDF 的版本、来源、结构质量和 preprocessing。</w:t>
      </w:r>
    </w:p>
    <w:p>
      <w:pPr>
        <w:pStyle w:val="ListNumber"/>
        <w:spacing w:after="60"/>
      </w:pPr>
      <w:r>
        <w:t>在独立计算环境中运行 docking 或读取已锁定的 docking 结果，使用 decoys、negative controls、重复搜索或多引擎敏感性分析。</w:t>
      </w:r>
    </w:p>
    <w:p>
      <w:pPr>
        <w:pStyle w:val="ListNumber"/>
        <w:spacing w:after="60"/>
      </w:pPr>
      <w:r>
        <w:t>把空间定位、表达/蛋白事实、结构接触和文献证据分别写成 typed claims，并由验证器检查 scope、ID、数值和 evidence role。</w:t>
      </w:r>
    </w:p>
    <w:p>
      <w:pPr>
        <w:pStyle w:val="ListNumber"/>
        <w:spacing w:after="60"/>
      </w:pPr>
      <w:r>
        <w:t>输出候选优先级和限制，而不是“已证明结合/激活/治疗有效”；必要时提出原位杂交、蛋白验证、结合实验或扰动实验作为后续验证。</w:t>
      </w:r>
    </w:p>
    <w:p>
      <w:pPr>
        <w:pStyle w:val="Heading3"/>
      </w:pPr>
      <w:r>
        <w:t>4.3.4 必须加入的负对照和评价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969"/>
        <w:gridCol w:w="2835"/>
      </w:tblGrid>
      <w:tr>
        <w:trPr>
          <w:tblHeader/>
        </w:trPr>
        <w:tc>
          <w:tcPr>
            <w:tcW w:type="dxa" w:w="3362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挑战</w:t>
            </w:r>
          </w:p>
        </w:tc>
        <w:tc>
          <w:tcPr>
            <w:tcW w:type="dxa" w:w="3362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目的</w:t>
            </w:r>
          </w:p>
        </w:tc>
        <w:tc>
          <w:tcPr>
            <w:tcW w:type="dxa" w:w="3362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最低结果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随机空间标签/打乱区域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检查空间共定位 claim 是否依赖真实结构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空间统计显著性和 false-positive rate</w:t>
            </w:r>
          </w:p>
        </w:tc>
      </w:tr>
      <w:tr>
        <w:tc>
          <w:tcPr>
            <w:tcW w:type="dxa" w:w="283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结构 decoy/非靶蛋白</w:t>
            </w:r>
          </w:p>
        </w:tc>
        <w:tc>
          <w:tcPr>
            <w:tcW w:type="dxa" w:w="3969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检查 docking score 是否仅反映结构或口袋偏好</w:t>
            </w:r>
          </w:p>
        </w:tc>
        <w:tc>
          <w:tcPr>
            <w:tcW w:type="dxa" w:w="283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target-vs-decoy discrimination 和 CI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无关配体/负配体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检查模型是否把任何 ligand 都写成支持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wrong-binding claim rate</w:t>
            </w:r>
          </w:p>
        </w:tc>
      </w:tr>
      <w:tr>
        <w:tc>
          <w:tcPr>
            <w:tcW w:type="dxa" w:w="283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物种/组织错配证据</w:t>
            </w:r>
          </w:p>
        </w:tc>
        <w:tc>
          <w:tcPr>
            <w:tcW w:type="dxa" w:w="3969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检查 evidence scope</w:t>
            </w:r>
          </w:p>
        </w:tc>
        <w:tc>
          <w:tcPr>
            <w:tcW w:type="dxa" w:w="283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wrong-species/wrong-tissue rejection rate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表达高但 docking 差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检查跨层冲突是否被保留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conflict correctly reported，不强行整合</w:t>
            </w:r>
          </w:p>
        </w:tc>
      </w:tr>
      <w:tr>
        <w:tc>
          <w:tcPr>
            <w:tcW w:type="dxa" w:w="283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docking 好但空间不表达</w:t>
            </w:r>
          </w:p>
        </w:tc>
        <w:tc>
          <w:tcPr>
            <w:tcW w:type="dxa" w:w="3969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检查结构证据是否被误写成组织机制</w:t>
            </w:r>
          </w:p>
        </w:tc>
        <w:tc>
          <w:tcPr>
            <w:tcW w:type="dxa" w:w="283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dataset-support claim must fail or remain partial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不同引擎/参数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检查 score 的方法依赖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sensitivity table，不合并成单一真值</w:t>
            </w:r>
          </w:p>
        </w:tc>
      </w:tr>
    </w:tbl>
    <w:p>
      <w:pPr>
        <w:spacing w:after="20"/>
      </w:pPr>
    </w:p>
    <w:p>
      <w:pPr>
        <w:pStyle w:val="Heading2"/>
      </w:pPr>
      <w:r>
        <w:t>4.4 修复内部序列化精度并固定 artifact manifest</w:t>
      </w:r>
    </w:p>
    <w:p>
      <w:r>
        <w:t>当前 R/utils.R 的 .json 使用 digits=10，而规模实验脚本另行使用 digits=17。这会导致包默认工作流和研究脚本的数值传递契约不一致。应把精度作为显式的内部协议，不依赖模型自行恢复小数。</w:t>
      </w:r>
    </w:p>
    <w:p>
      <w:pPr>
        <w:pStyle w:val="ListBullet"/>
        <w:spacing w:after="60"/>
      </w:pPr>
      <w:r>
        <w:t>把用于模型和 manifest 的 JSON 精度固定为 17 位；显示文本可以继续使用 .fmt_num() 舍入。</w:t>
      </w:r>
    </w:p>
    <w:p>
      <w:pPr>
        <w:pStyle w:val="ListBullet"/>
        <w:spacing w:after="60"/>
      </w:pPr>
      <w:r>
        <w:t>在 bio_context_payload() 中记录 serialization_version、precision_digits、payload_chars、input_summary_hash 和 facts_hash。</w:t>
      </w:r>
    </w:p>
    <w:p>
      <w:pPr>
        <w:pStyle w:val="ListBullet"/>
        <w:spacing w:after="60"/>
      </w:pPr>
      <w:r>
        <w:t>对 PCA variance_explained、极小 p、零值、整数和字符串分别做回归测试。</w:t>
      </w:r>
    </w:p>
    <w:p>
      <w:pPr>
        <w:pStyle w:val="ListBullet"/>
        <w:spacing w:after="60"/>
      </w:pPr>
      <w:r>
        <w:t>每次模型请求保存 prompt hash、context hash、config public hash、model label、provider host、时间、usage 和 response hash；不保存 key。</w:t>
      </w:r>
    </w:p>
    <w:p>
      <w:pPr>
        <w:pStyle w:val="ListBullet"/>
        <w:spacing w:after="60"/>
      </w:pPr>
      <w:r>
        <w:t>研究评分程序读取同一 manifest，不再在不同脚本中重复定义精度和容差。</w:t>
      </w:r>
    </w:p>
    <w:p>
      <w:pPr>
        <w:pStyle w:val="CodeRoadmap"/>
      </w:pPr>
      <w:r>
        <w:t># 目标：同一 facts 在包、实验和报告中的数值来源一致</w:t>
        <w:br/>
        <w:t>manifest &lt;- bio_context_manifest(ctx, include_hashes = TRUE)</w:t>
        <w:br/>
        <w:t>payload &lt;- bio_context_payload(ctx, precision_digits = 17)</w:t>
        <w:br/>
        <w:t>stopifnot(identical(manifest$facts_hash, hash_facts(payload$facts)))</w:t>
      </w:r>
    </w:p>
    <w:p>
      <w:pPr>
        <w:pStyle w:val="Heading2"/>
      </w:pPr>
      <w:r>
        <w:t>4.5 明确隐私和执行安全边界</w:t>
      </w:r>
    </w:p>
    <w:p>
      <w:r>
        <w:t>包目前做了很多有价值的脱敏，但它不是自动隐私认证系统；Shiny 和 callr 都与当前用户共享文件/网络权限。论文应该避免“安全沙箱”“隐私保证”等泛化措辞，改成可审计的发送字段和运行权限声明。</w:t>
      </w:r>
    </w:p>
    <w:p>
      <w:pPr>
        <w:pStyle w:val="ListBullet"/>
        <w:spacing w:after="60"/>
      </w:pPr>
      <w:r>
        <w:t>增加 payload allowlist：只允许 facts、有限 top features、study metadata 的明确字段进入模型；对 feature/cluster/term 标签提供 hash 或用户选择。</w:t>
      </w:r>
    </w:p>
    <w:p>
      <w:pPr>
        <w:pStyle w:val="ListBullet"/>
        <w:spacing w:after="60"/>
      </w:pPr>
      <w:r>
        <w:t>增加 secret/PII/样本名/条码注入测试；测试不仅检查常见 PATIENT_ 字符串，还检查用户自定义字段和路径。</w:t>
      </w:r>
    </w:p>
    <w:p>
      <w:pPr>
        <w:pStyle w:val="ListBullet"/>
        <w:spacing w:after="60"/>
      </w:pPr>
      <w:r>
        <w:t>报告对象和原始代码分开：默认 report 不含值，但 bio_record 对象本身仍可能含返回值和完整代码，文档要明确这一点。</w:t>
      </w:r>
    </w:p>
    <w:p>
      <w:pPr>
        <w:pStyle w:val="ListBullet"/>
        <w:spacing w:after="60"/>
      </w:pPr>
      <w:r>
        <w:t>研究基准中的代码代理运行必须通过 Docker/Apptainer 或等价 OS 层策略，禁用网络和写入项目之外的路径；BioExplainR 的 callr 结果不能代替该基准。</w:t>
      </w:r>
    </w:p>
    <w:p>
      <w:pPr>
        <w:pStyle w:val="ListBullet"/>
        <w:spacing w:after="60"/>
      </w:pPr>
      <w:r>
        <w:t>将 host = 0.0.0.0 的工作台只作为高级部署说明，补充认证、TLS、反向代理和单租户约束。</w:t>
      </w:r>
    </w:p>
    <w:p>
      <w:pPr>
        <w:pStyle w:val="Heading1"/>
      </w:pPr>
      <w:r>
        <w:t>五、独立评价设计：从事实传递升级为科学效果</w:t>
      </w:r>
    </w:p>
    <w:p>
      <w:r>
        <w:t>现有 120 案例/480 facts 保留，但在新论文中必须明确归类为 protocol fidelity/serialization stress test。它可以证明 facts 被传递后没有被模型改写，不能证明模型独立完成统计解释。新的评价需要把“答案已给出”与“模型根据事实作出正确判断”分开。</w:t>
      </w:r>
    </w:p>
    <w:p>
      <w:pPr>
        <w:pStyle w:val="Heading2"/>
      </w:pPr>
      <w:r>
        <w:t>5.1 五层评价终点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835"/>
        <w:gridCol w:w="2268"/>
        <w:gridCol w:w="2835"/>
        <w:gridCol w:w="1814"/>
      </w:tblGrid>
      <w:tr>
        <w:trPr>
          <w:tblHeader/>
        </w:trPr>
        <w:tc>
          <w:tcPr>
            <w:tcW w:type="dxa" w:w="2017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2017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2017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输入是否含目标答案</w:t>
            </w:r>
          </w:p>
        </w:tc>
        <w:tc>
          <w:tcPr>
            <w:tcW w:type="dxa" w:w="2017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主要终点</w:t>
            </w:r>
          </w:p>
        </w:tc>
        <w:tc>
          <w:tcPr>
            <w:tcW w:type="dxa" w:w="2017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论文位置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A 软件接入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adapter 是否提取正确 facts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否；参考值独立计算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exact agreement、缺失和错误率</w:t>
            </w:r>
          </w:p>
        </w:tc>
        <w:tc>
          <w:tcPr>
            <w:tcW w:type="dxa" w:w="181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主文方法/结果</w:t>
            </w:r>
          </w:p>
        </w:tc>
      </w:tr>
      <w:tr>
        <w:tc>
          <w:tcPr>
            <w:tcW w:type="dxa" w:w="113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B 协议保真</w:t>
            </w:r>
          </w:p>
        </w:tc>
        <w:tc>
          <w:tcPr>
            <w:tcW w:type="dxa" w:w="283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模型是否复制已提供 facts</w:t>
            </w:r>
          </w:p>
        </w:tc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是；明确标注为 transport</w:t>
            </w:r>
          </w:p>
        </w:tc>
        <w:tc>
          <w:tcPr>
            <w:tcW w:type="dxa" w:w="283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coverage、exact match、precision</w:t>
            </w:r>
          </w:p>
        </w:tc>
        <w:tc>
          <w:tcPr>
            <w:tcW w:type="dxa" w:w="181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主文次要结果/补充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C 统计判断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模型能否正确区分 raw/padj、效应、重复单位、batch、ORA/GSEA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提供情境和 facts，不提供目标标签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专家金标准 accuracy、unsupported rate</w:t>
            </w:r>
          </w:p>
        </w:tc>
        <w:tc>
          <w:tcPr>
            <w:tcW w:type="dxa" w:w="181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主文主要结果</w:t>
            </w:r>
          </w:p>
        </w:tc>
      </w:tr>
      <w:tr>
        <w:tc>
          <w:tcPr>
            <w:tcW w:type="dxa" w:w="113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D 证据支持</w:t>
            </w:r>
          </w:p>
        </w:tc>
        <w:tc>
          <w:tcPr>
            <w:tcW w:type="dxa" w:w="283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文献/数据库是否真正支持 claim</w:t>
            </w:r>
          </w:p>
        </w:tc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提供混合的支持、矛盾、定义-only 证据</w:t>
            </w:r>
          </w:p>
        </w:tc>
        <w:tc>
          <w:tcPr>
            <w:tcW w:type="dxa" w:w="283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support precision/recall、专家一致性</w:t>
            </w:r>
          </w:p>
        </w:tc>
        <w:tc>
          <w:tcPr>
            <w:tcW w:type="dxa" w:w="181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主文主要结果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E 工作流收益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研究者是否更快、更准、更校准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实验组/对照组不同工作流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任务正确率、时间、信心校准、负荷</w:t>
            </w:r>
          </w:p>
        </w:tc>
        <w:tc>
          <w:tcPr>
            <w:tcW w:type="dxa" w:w="181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主文或独立用户研究</w:t>
            </w:r>
          </w:p>
        </w:tc>
      </w:tr>
    </w:tbl>
    <w:p>
      <w:pPr>
        <w:spacing w:after="20"/>
      </w:pPr>
    </w:p>
    <w:p>
      <w:pPr>
        <w:pStyle w:val="Heading2"/>
      </w:pPr>
      <w:r>
        <w:t>5.2 独立 claim-level benchmark</w:t>
      </w:r>
    </w:p>
    <w:p>
      <w:r>
        <w:t>建议最低规模：100–200 个 claim，来自 8–12 个真实公开数据/分析对象，至少覆盖 bulk RNA-seq、单细胞和一个跨模态案例。每个 claim 由两名以上领域专家在模型运行前标注。测试集不能参与 adapter、prompt 或规则开发。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701"/>
        <w:gridCol w:w="3969"/>
        <w:gridCol w:w="2268"/>
      </w:tblGrid>
      <w:tr>
        <w:trPr>
          <w:tblHeader/>
        </w:trPr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任务家族</w:t>
            </w:r>
          </w:p>
        </w:tc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建议样本量</w:t>
            </w:r>
          </w:p>
        </w:tc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错误类型</w:t>
            </w:r>
          </w:p>
        </w:tc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最低报告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差异表达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30–40 claims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raw vs adjusted p、方向、阈值、NA padj、effect vs significance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accuracy、false claim rate、per-case CI</w:t>
            </w:r>
          </w:p>
        </w:tc>
      </w:tr>
      <w:tr>
        <w:tc>
          <w:tcPr>
            <w:tcW w:type="dxa" w:w="181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富集/GSEA</w:t>
            </w:r>
          </w:p>
        </w:tc>
        <w:tc>
          <w:tcPr>
            <w:tcW w:type="dxa" w:w="170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20–30 claims</w:t>
            </w:r>
          </w:p>
        </w:tc>
        <w:tc>
          <w:tcPr>
            <w:tcW w:type="dxa" w:w="3969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ORA activation、NES direction、background、redundancy</w:t>
            </w:r>
          </w:p>
        </w:tc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statistical interpretation accuracy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单细胞设计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20–30 claims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cell vs donor、batch、cluster marker、UMAP distance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design error detection</w:t>
            </w:r>
          </w:p>
        </w:tc>
      </w:tr>
      <w:tr>
        <w:tc>
          <w:tcPr>
            <w:tcW w:type="dxa" w:w="181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图形映射</w:t>
            </w:r>
          </w:p>
        </w:tc>
        <w:tc>
          <w:tcPr>
            <w:tcW w:type="dxa" w:w="170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20–30 claims</w:t>
            </w:r>
          </w:p>
        </w:tc>
        <w:tc>
          <w:tcPr>
            <w:tcW w:type="dxa" w:w="3969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raw p、axis transform、subset、color/size</w:t>
            </w:r>
          </w:p>
        </w:tc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mapping pass/fail、false pass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跨模态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30–50 claims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sample mismatch、discordant directions、derived evidence、causal overclaim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joint claim accuracy and support</w:t>
            </w:r>
          </w:p>
        </w:tc>
      </w:tr>
      <w:tr>
        <w:tc>
          <w:tcPr>
            <w:tcW w:type="dxa" w:w="181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空间 + 结构</w:t>
            </w:r>
          </w:p>
        </w:tc>
        <w:tc>
          <w:tcPr>
            <w:tcW w:type="dxa" w:w="170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30–50 claims</w:t>
            </w:r>
          </w:p>
        </w:tc>
        <w:tc>
          <w:tcPr>
            <w:tcW w:type="dxa" w:w="3969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空间共定位、区域分母、ligand/receptor scope、docking score、decoy、结构证据过度解释</w:t>
            </w:r>
          </w:p>
        </w:tc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spatial/structure claim accuracy、false mechanism rate、conflict handling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错误诊断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40–60 cases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missing package/object/column、dimension、S4、ID、factor、counts、NA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top-1/top-3 root cause accuracy</w:t>
            </w:r>
          </w:p>
        </w:tc>
      </w:tr>
    </w:tbl>
    <w:p>
      <w:pPr>
        <w:spacing w:after="20"/>
      </w:pPr>
    </w:p>
    <w:p>
      <w:r>
        <w:t>比较方法至少包括：普通模型 + 相同问题文本、BioExplainR 本地模板、BioExplainR facts-only、BioExplainR facts + evidence、facts + validator/revision。所有方法固定模型版本、温度、token、prompt 和成本记录。普通模型不能被故意给弱输入；如果输入预算不同，必须把它作为预注册的资源约束并报告。</w:t>
      </w:r>
    </w:p>
    <w:p>
      <w:pPr>
        <w:pStyle w:val="Heading2"/>
      </w:pPr>
      <w:r>
        <w:t>5.3 证据支持关系评价</w:t>
      </w:r>
    </w:p>
    <w:p>
      <w:r>
        <w:t>当前 evidence_used 只检查模型是否引用了供应集合中的 ID。下一步要为每个 claim 构造四类 evidence：支持、矛盾、仅定义、无关。专家在不看模型方法的情况下判断 claim 是否得到支持，并记录物种、组织、实验条件和结论强度。</w:t>
      </w:r>
    </w:p>
    <w:p>
      <w:pPr>
        <w:pStyle w:val="ListBullet"/>
        <w:spacing w:after="60"/>
      </w:pPr>
      <w:r>
        <w:t>不要把 Europe PMC 的搜索命中当作 support；文献标题和全文结论必须分开。</w:t>
      </w:r>
    </w:p>
    <w:p>
      <w:pPr>
        <w:pStyle w:val="ListBullet"/>
        <w:spacing w:after="60"/>
      </w:pPr>
      <w:r>
        <w:t>GO/Reactome/KEGG term definition 只能满足 definition_only，不能满足 pathway_activity 或 dataset_effect。</w:t>
      </w:r>
    </w:p>
    <w:p>
      <w:pPr>
        <w:pStyle w:val="ListBullet"/>
        <w:spacing w:after="60"/>
      </w:pPr>
      <w:r>
        <w:t>UniProt annotation 只能支持 annotation/membership 类型 claim，不能直接支持处理组差异或因果。</w:t>
      </w:r>
    </w:p>
    <w:p>
      <w:pPr>
        <w:pStyle w:val="ListBullet"/>
        <w:spacing w:after="60"/>
      </w:pPr>
      <w:r>
        <w:t>报告 evidence precision、support recall、wrong-species rate、definition-as-support rate 和 citation coverage。</w:t>
      </w:r>
    </w:p>
    <w:p>
      <w:pPr>
        <w:pStyle w:val="ListBullet"/>
        <w:spacing w:after="60"/>
      </w:pPr>
      <w:r>
        <w:t>至少两名专家独立标注，报告 Krippendorff alpha 或适合的多评分者可靠性指标；exact agreement 作为补充。</w:t>
      </w:r>
    </w:p>
    <w:p>
      <w:pPr>
        <w:pStyle w:val="Heading2"/>
      </w:pPr>
      <w:r>
        <w:t>5.4 错误诊断、图形和修复评价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2268"/>
        <w:gridCol w:w="4082"/>
        <w:gridCol w:w="1984"/>
      </w:tblGrid>
      <w:tr>
        <w:trPr>
          <w:tblHeader/>
        </w:trPr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现有状态</w:t>
            </w:r>
          </w:p>
        </w:tc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新增评价</w:t>
            </w:r>
          </w:p>
        </w:tc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验收线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错误诊断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离线规则单测</w:t>
            </w:r>
          </w:p>
        </w:tc>
        <w:tc>
          <w:tcPr>
            <w:tcW w:type="dxa" w:w="408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60 个真实/盲法构造错误；根因由专家预标注；模型和规则盲评</w:t>
            </w:r>
          </w:p>
        </w:tc>
        <w:tc>
          <w:tcPr>
            <w:tcW w:type="dxa" w:w="198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top-1 ≥ 0.75，top-3 ≥ 0.90；未知错误不强行归类</w:t>
            </w:r>
          </w:p>
        </w:tc>
      </w:tr>
      <w:tr>
        <w:tc>
          <w:tcPr>
            <w:tcW w:type="dxa" w:w="1417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图形核对</w:t>
            </w:r>
          </w:p>
        </w:tc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9 个预设 challenge</w:t>
            </w:r>
          </w:p>
        </w:tc>
        <w:tc>
          <w:tcPr>
            <w:tcW w:type="dxa" w:w="408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40–60 个真实图/注入图；包括 facet、coord、subset、multi-layer、label</w:t>
            </w:r>
          </w:p>
        </w:tc>
        <w:tc>
          <w:tcPr>
            <w:tcW w:type="dxa" w:w="198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false-pass &lt; 5%；not_checkable 单独报告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修复验证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显式不变量和 callr</w:t>
            </w:r>
          </w:p>
        </w:tc>
        <w:tc>
          <w:tcPr>
            <w:tcW w:type="dxa" w:w="408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错误方向、行数、列、design、输出类型的候选修复集</w:t>
            </w:r>
          </w:p>
        </w:tc>
        <w:tc>
          <w:tcPr>
            <w:tcW w:type="dxa" w:w="198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运行率和语义率分开；无 invariants 不计成功</w:t>
            </w:r>
          </w:p>
        </w:tc>
      </w:tr>
      <w:tr>
        <w:tc>
          <w:tcPr>
            <w:tcW w:type="dxa" w:w="1417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声明验证</w:t>
            </w:r>
          </w:p>
        </w:tc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value/path/direction/citation</w:t>
            </w:r>
          </w:p>
        </w:tc>
        <w:tc>
          <w:tcPr>
            <w:tcW w:type="dxa" w:w="408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typed claim ledger + 语义负例 + 未声明 prose</w:t>
            </w:r>
          </w:p>
        </w:tc>
        <w:tc>
          <w:tcPr>
            <w:tcW w:type="dxa" w:w="198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对注入错误 recall ≥ 0.95；自由 prose 保持 unverified</w:t>
            </w:r>
          </w:p>
        </w:tc>
      </w:tr>
    </w:tbl>
    <w:p>
      <w:pPr>
        <w:spacing w:after="20"/>
      </w:pPr>
    </w:p>
    <w:p>
      <w:pPr>
        <w:pStyle w:val="Heading1"/>
      </w:pPr>
      <w:r>
        <w:t>六、真实多组学案例：iMeta 送审的必要主结果</w:t>
      </w:r>
    </w:p>
    <w:p>
      <w:r>
        <w:t>主案例必须有一个真正的生物学问题，而不是把多个对象并排展示。推荐结构是“同一批样本的两个或三个模态，存在缺失样本、批次或方向不一致的现实困难；BioExplainR 识别这些困难并限制模型结论”。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4649"/>
        <w:gridCol w:w="3118"/>
      </w:tblGrid>
      <w:tr>
        <w:trPr>
          <w:tblHeader/>
        </w:trPr>
        <w:tc>
          <w:tcPr>
            <w:tcW w:type="dxa" w:w="3362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主案例章节</w:t>
            </w:r>
          </w:p>
        </w:tc>
        <w:tc>
          <w:tcPr>
            <w:tcW w:type="dxa" w:w="3362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必须展示</w:t>
            </w:r>
          </w:p>
        </w:tc>
        <w:tc>
          <w:tcPr>
            <w:tcW w:type="dxa" w:w="3362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避免的写法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数据与设计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样本交集、模态缺失、donor/group/timepoint/batch、独立重复</w:t>
            </w:r>
          </w:p>
        </w:tc>
        <w:tc>
          <w:tcPr>
            <w:tcW w:type="dxa" w:w="311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只报每个对象的 feature 数量</w:t>
            </w:r>
          </w:p>
        </w:tc>
      </w:tr>
      <w:tr>
        <w:tc>
          <w:tcPr>
            <w:tcW w:type="dxa" w:w="198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对象接入</w:t>
            </w:r>
          </w:p>
        </w:tc>
        <w:tc>
          <w:tcPr>
            <w:tcW w:type="dxa" w:w="4649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MultiAssayExperiment/SCE/SE/结果表如何映射到 context</w:t>
            </w:r>
          </w:p>
        </w:tc>
        <w:tc>
          <w:tcPr>
            <w:tcW w:type="dxa" w:w="311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声称支持所有上游版本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模态内 facts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每个模态的差异、QC、阈值、来源和不确定性</w:t>
            </w:r>
          </w:p>
        </w:tc>
        <w:tc>
          <w:tcPr>
            <w:tcW w:type="dxa" w:w="311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把不同模态的 p 值简单合并</w:t>
            </w:r>
          </w:p>
        </w:tc>
      </w:tr>
      <w:tr>
        <w:tc>
          <w:tcPr>
            <w:tcW w:type="dxa" w:w="198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跨模态整合</w:t>
            </w:r>
          </w:p>
        </w:tc>
        <w:tc>
          <w:tcPr>
            <w:tcW w:type="dxa" w:w="4649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agreement、discordance、derived edges、样本/feature 对齐</w:t>
            </w:r>
          </w:p>
        </w:tc>
        <w:tc>
          <w:tcPr>
            <w:tcW w:type="dxa" w:w="311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方向一致就写成共同机制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证据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支持/矛盾/定义-only 证据和适用范围</w:t>
            </w:r>
          </w:p>
        </w:tc>
        <w:tc>
          <w:tcPr>
            <w:tcW w:type="dxa" w:w="311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把数据库定义写成实验激活</w:t>
            </w:r>
          </w:p>
        </w:tc>
      </w:tr>
      <w:tr>
        <w:tc>
          <w:tcPr>
            <w:tcW w:type="dxa" w:w="198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模型输出</w:t>
            </w:r>
          </w:p>
        </w:tc>
        <w:tc>
          <w:tcPr>
            <w:tcW w:type="dxa" w:w="4649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原始 prose、typed claims、验证状态和人工修订</w:t>
            </w:r>
          </w:p>
        </w:tc>
        <w:tc>
          <w:tcPr>
            <w:tcW w:type="dxa" w:w="311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只展示完美示例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结果价值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错误率、时间、专家判断或用户任务收益</w:t>
            </w:r>
          </w:p>
        </w:tc>
        <w:tc>
          <w:tcPr>
            <w:tcW w:type="dxa" w:w="311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用 100% facts transfer 代替生物学效果</w:t>
            </w:r>
          </w:p>
        </w:tc>
      </w:tr>
    </w:tbl>
    <w:p>
      <w:pPr>
        <w:spacing w:after="20"/>
      </w:pPr>
    </w:p>
    <w:p>
      <w:r>
        <w:t>可接受的第一版不必覆盖所有 omics。一个严格完成的 transcriptome + methylation/CNV 或 transcriptome + proteome 案例，优于五个没有样本对齐和专家评价的模态 demo。若选择微生物组/代谢组/转录组，应提前确定 feature ID、物种、批次和 compositionality 的解释边界。</w:t>
      </w:r>
    </w:p>
    <w:p>
      <w:pPr>
        <w:pStyle w:val="Heading1"/>
      </w:pPr>
      <w:r>
        <w:t>七、正式人类评价设计</w:t>
      </w:r>
    </w:p>
    <w:p>
      <w:r>
        <w:t>当前 30 位功能评分和 3 位外部评分者的聚合数据只能作为 pilot 或可接受性信号。若要把用户收益写进一区论文，应在收集前完成伦理审查/豁免判断、知情同意、招募标准、补偿、数据保留和预注册。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83"/>
      </w:tblGrid>
      <w:tr>
        <w:trPr>
          <w:tblHeader/>
        </w:trPr>
        <w:tc>
          <w:tcPr>
            <w:tcW w:type="dxa" w:w="5043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7"/>
              </w:rPr>
              <w:t>设计元素</w:t>
            </w:r>
          </w:p>
        </w:tc>
        <w:tc>
          <w:tcPr>
            <w:tcW w:type="dxa" w:w="5043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7"/>
              </w:rPr>
              <w:t>最低要求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人群</w:t>
            </w:r>
          </w:p>
        </w:tc>
        <w:tc>
          <w:tcPr>
            <w:tcW w:type="dxa" w:w="7483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初级或中级生物信息学研究者；记录 R/生信背景和先验能力</w:t>
            </w:r>
          </w:p>
        </w:tc>
      </w:tr>
      <w:tr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分组</w:t>
            </w:r>
          </w:p>
        </w:tc>
        <w:tc>
          <w:tcPr>
            <w:tcW w:type="dxa" w:w="7483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BioExplainR 工作流 vs 原始 R 输出或普通 LLM；同一数据和时间预算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任务</w:t>
            </w:r>
          </w:p>
        </w:tc>
        <w:tc>
          <w:tcPr>
            <w:tcW w:type="dxa" w:w="7483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差异表达、富集/单细胞设计、图形判断、一个跨模态任务；加入未见数据迁移</w:t>
            </w:r>
          </w:p>
        </w:tc>
      </w:tr>
      <w:tr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终点</w:t>
            </w:r>
          </w:p>
        </w:tc>
        <w:tc>
          <w:tcPr>
            <w:tcW w:type="dxa" w:w="7483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主要：任务正确率；次要：完成时间、信心、信心-正确性校准、NASA-TLX/SUS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盲法</w:t>
            </w:r>
          </w:p>
        </w:tc>
        <w:tc>
          <w:tcPr>
            <w:tcW w:type="dxa" w:w="7483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评分者不知道组别；答案密钥和分组表分开保管</w:t>
            </w:r>
          </w:p>
        </w:tc>
      </w:tr>
      <w:tr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样本量</w:t>
            </w:r>
          </w:p>
        </w:tc>
        <w:tc>
          <w:tcPr>
            <w:tcW w:type="dxa" w:w="7483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由预注册效应和功效计算决定；不要用当前便利样本的 91.98 分倒推效果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统计</w:t>
            </w:r>
          </w:p>
        </w:tc>
        <w:tc>
          <w:tcPr>
            <w:tcW w:type="dxa" w:w="7483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pre/post 或任务分数使用混合效应模型/预设分析；报告效应量和置信区间</w:t>
            </w:r>
          </w:p>
        </w:tc>
      </w:tr>
      <w:tr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伦理</w:t>
            </w:r>
          </w:p>
        </w:tc>
        <w:tc>
          <w:tcPr>
            <w:tcW w:type="dxa" w:w="7483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真实审批或豁免编号、同意、招募、补偿、匿名化和数据管理</w:t>
            </w:r>
          </w:p>
        </w:tc>
      </w:tr>
    </w:tbl>
    <w:p>
      <w:pPr>
        <w:spacing w:after="20"/>
      </w:pPr>
    </w:p>
    <w:p>
      <w:r>
        <w:t>如果短期内无法完成正式用户研究，论文应明确不声称用户收益，把教学模块和当前功能评分放入补充材料或另一个后续研究。iMeta 的主论文可以只依靠独立专家 claim benchmark + 真实多组学案例，但不能同时使用“帮助初级研究者”作为已证实结论。</w:t>
      </w:r>
    </w:p>
    <w:p>
      <w:pPr>
        <w:pStyle w:val="Heading1"/>
      </w:pPr>
      <w:r>
        <w:t>八、统计分析与预注册方案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83"/>
      </w:tblGrid>
      <w:tr>
        <w:trPr>
          <w:tblHeader/>
        </w:trPr>
        <w:tc>
          <w:tcPr>
            <w:tcW w:type="dxa" w:w="5043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043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7"/>
              </w:rPr>
              <w:t>建议预注册内容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主要终点</w:t>
            </w:r>
          </w:p>
        </w:tc>
        <w:tc>
          <w:tcPr>
            <w:tcW w:type="dxa" w:w="7483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unsupported biological claim rate 或 statistical/design error rate；定义分母和 claim 单位</w:t>
            </w:r>
          </w:p>
        </w:tc>
      </w:tr>
      <w:tr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主要比较</w:t>
            </w:r>
          </w:p>
        </w:tc>
        <w:tc>
          <w:tcPr>
            <w:tcW w:type="dxa" w:w="7483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BioExplainR facts+evidence+validator vs fair baseline；模型、版本、温度和 prompt 冻结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事实终点</w:t>
            </w:r>
          </w:p>
        </w:tc>
        <w:tc>
          <w:tcPr>
            <w:tcW w:type="dxa" w:w="7483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adapter agreement 与 transport fidelity 单独报告，不能合并为模型 accuracy</w:t>
            </w:r>
          </w:p>
        </w:tc>
      </w:tr>
      <w:tr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专家评分</w:t>
            </w:r>
          </w:p>
        </w:tc>
        <w:tc>
          <w:tcPr>
            <w:tcW w:type="dxa" w:w="7483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每个 claim 的 0/1 或 0–2 标准、双评者、冲突裁决和 alpha/ICC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置信区间</w:t>
            </w:r>
          </w:p>
        </w:tc>
        <w:tc>
          <w:tcPr>
            <w:tcW w:type="dxa" w:w="7483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按 case/bootstrap 或 mixed-effects 结构计算，不把重复调用当独立生物样本</w:t>
            </w:r>
          </w:p>
        </w:tc>
      </w:tr>
      <w:tr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多重比较</w:t>
            </w:r>
          </w:p>
        </w:tc>
        <w:tc>
          <w:tcPr>
            <w:tcW w:type="dxa" w:w="7483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主终点只设少数；其余为探索性并报告 BH 或不调整说明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成本</w:t>
            </w:r>
          </w:p>
        </w:tc>
        <w:tc>
          <w:tcPr>
            <w:tcW w:type="dxa" w:w="7483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输入/输出 tokens、网络时间、失败重试、每个正确 claim 成本</w:t>
            </w:r>
          </w:p>
        </w:tc>
      </w:tr>
      <w:tr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缺失</w:t>
            </w:r>
          </w:p>
        </w:tc>
        <w:tc>
          <w:tcPr>
            <w:tcW w:type="dxa" w:w="7483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模型不回答计为未完成，不填补；解析失败与事实错误分别统计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开发隔离</w:t>
            </w:r>
          </w:p>
        </w:tc>
        <w:tc>
          <w:tcPr>
            <w:tcW w:type="dxa" w:w="7483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开发案例、提示调参、阈值选择和最终 test case 的时间线可审计</w:t>
            </w:r>
          </w:p>
        </w:tc>
      </w:tr>
    </w:tbl>
    <w:p>
      <w:pPr>
        <w:spacing w:after="20"/>
      </w:pPr>
    </w:p>
    <w:p>
      <w:r>
        <w:t>建议的主要效应表达：相对于公平 baseline，BioExplainR 将 unsupported/incorrect claim 的风险降低多少；同时报告 absolute risk difference、relative risk、95% CI 和每个任务家族结果。不要把 480 个共享程序生成事实看成 480 个独立样本进行显著性检验。</w:t>
      </w:r>
    </w:p>
    <w:p>
      <w:pPr>
        <w:pStyle w:val="Heading1"/>
      </w:pPr>
      <w:r>
        <w:t>九、论文重构方案</w:t>
      </w:r>
    </w:p>
    <w:p>
      <w:pPr>
        <w:pStyle w:val="Heading2"/>
      </w:pPr>
      <w:r>
        <w:t>9.1 推荐中心题目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3F5"/>
          </w:tcPr>
          <w:p>
            <w:pPr>
              <w:spacing w:after="40"/>
            </w:pPr>
            <w:r/>
            <w:r>
              <w:rPr>
                <w:b/>
                <w:color w:val="174B5D"/>
              </w:rPr>
              <w:t>英文题目候选</w:t>
              <w:br/>
            </w:r>
            <w:r>
              <w:t>BioExplainR: deterministic, evidence-constrained and claim-verifiable interpretation of integrated omics results</w:t>
            </w:r>
          </w:p>
        </w:tc>
      </w:tr>
    </w:tbl>
    <w:p>
      <w:pPr>
        <w:spacing w:after="20"/>
      </w:pPr>
    </w:p>
    <w:p>
      <w:r>
        <w:t>中文对应：BioExplainR：面向整合组学结果的确定性事实、证据约束与可验证声明解释框架。题目中的 integrated omics 只有在 MultiAssayExperiment/真实跨模态案例完成后才能使用；否则改为 omics R analysis objects。</w:t>
      </w:r>
    </w:p>
    <w:p>
      <w:pPr>
        <w:pStyle w:val="Heading2"/>
      </w:pPr>
      <w:r>
        <w:t>9.2 主文结构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649"/>
        <w:gridCol w:w="3402"/>
      </w:tblGrid>
      <w:tr>
        <w:trPr>
          <w:tblHeader/>
        </w:trPr>
        <w:tc>
          <w:tcPr>
            <w:tcW w:type="dxa" w:w="3362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章节</w:t>
            </w:r>
          </w:p>
        </w:tc>
        <w:tc>
          <w:tcPr>
            <w:tcW w:type="dxa" w:w="3362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应写什么</w:t>
            </w:r>
          </w:p>
        </w:tc>
        <w:tc>
          <w:tcPr>
            <w:tcW w:type="dxa" w:w="3362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不应写什么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摘要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问题、架构、跨模态案例、独立 benchmark、主要风险降低结果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74 个函数清单、模型 100% 复制事实</w:t>
            </w:r>
          </w:p>
        </w:tc>
      </w:tr>
      <w:tr>
        <w:tc>
          <w:tcPr>
            <w:tcW w:type="dxa" w:w="170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引言</w:t>
            </w:r>
          </w:p>
        </w:tc>
        <w:tc>
          <w:tcPr>
            <w:tcW w:type="dxa" w:w="4649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组学解释的事实/证据/因果错配；现有 LLM 工具缺口；本文假设</w:t>
            </w:r>
          </w:p>
        </w:tc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泛泛介绍 AI 热点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方法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context contract、typed claims、evidence roles、验证政策、数据和盲法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把结果数字写进方法</w:t>
            </w:r>
          </w:p>
        </w:tc>
      </w:tr>
      <w:tr>
        <w:tc>
          <w:tcPr>
            <w:tcW w:type="dxa" w:w="170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结果 1</w:t>
            </w:r>
          </w:p>
        </w:tc>
        <w:tc>
          <w:tcPr>
            <w:tcW w:type="dxa" w:w="4649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软件接入和确定性事实 conformance</w:t>
            </w:r>
          </w:p>
        </w:tc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把 R 事实当模型能力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结果 2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独立 claim benchmark 和公平 baseline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只展示成功案例</w:t>
            </w:r>
          </w:p>
        </w:tc>
      </w:tr>
      <w:tr>
        <w:tc>
          <w:tcPr>
            <w:tcW w:type="dxa" w:w="170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结果 3</w:t>
            </w:r>
          </w:p>
        </w:tc>
        <w:tc>
          <w:tcPr>
            <w:tcW w:type="dxa" w:w="4649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空间转录组 + 结构层案例和冲突识别</w:t>
            </w:r>
          </w:p>
        </w:tc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把共定位或 docking 写成已证实机制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结果 4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专家/用户任务结果（若完成）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用便利功能评分替代任务正确率</w:t>
            </w:r>
          </w:p>
        </w:tc>
      </w:tr>
      <w:tr>
        <w:tc>
          <w:tcPr>
            <w:tcW w:type="dxa" w:w="170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讨论</w:t>
            </w:r>
          </w:p>
        </w:tc>
        <w:tc>
          <w:tcPr>
            <w:tcW w:type="dxa" w:w="4649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适用边界、未验证 prose、证据支持限制、模型漂移、隐私和 sandbox</w:t>
            </w:r>
          </w:p>
        </w:tc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宣称临床、教学或因果收益</w:t>
            </w:r>
          </w:p>
        </w:tc>
      </w:tr>
    </w:tbl>
    <w:p>
      <w:pPr>
        <w:spacing w:after="20"/>
      </w:pPr>
    </w:p>
    <w:p>
      <w:pPr>
        <w:pStyle w:val="Heading2"/>
      </w:pPr>
      <w:r>
        <w:t>9.3 图表设计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050"/>
      </w:tblGrid>
      <w:tr>
        <w:trPr>
          <w:tblHeader/>
        </w:trPr>
        <w:tc>
          <w:tcPr>
            <w:tcW w:type="dxa" w:w="5043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图/表</w:t>
            </w:r>
          </w:p>
        </w:tc>
        <w:tc>
          <w:tcPr>
            <w:tcW w:type="dxa" w:w="5043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建议内容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Figure 1</w:t>
            </w:r>
          </w:p>
        </w:tc>
        <w:tc>
          <w:tcPr>
            <w:tcW w:type="dxa" w:w="805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跨模态 R objects → contexts → fact/claim/evidence graph → validation/report；标明 local/model/verified 边界</w:t>
            </w:r>
          </w:p>
        </w:tc>
      </w:tr>
      <w:tr>
        <w:tc>
          <w:tcPr>
            <w:tcW w:type="dxa" w:w="170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Figure 2</w:t>
            </w:r>
          </w:p>
        </w:tc>
        <w:tc>
          <w:tcPr>
            <w:tcW w:type="dxa" w:w="8050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公平 baseline 的 statistical/design/unsupported claim 错误率；显示独立 test set 和 CI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Figure 3</w:t>
            </w:r>
          </w:p>
        </w:tc>
        <w:tc>
          <w:tcPr>
            <w:tcW w:type="dxa" w:w="805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真实多组学案例：sample map、模态内结果、跨模态一致/冲突、验证状态</w:t>
            </w:r>
          </w:p>
        </w:tc>
      </w:tr>
      <w:tr>
        <w:tc>
          <w:tcPr>
            <w:tcW w:type="dxa" w:w="170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Figure 4</w:t>
            </w:r>
          </w:p>
        </w:tc>
        <w:tc>
          <w:tcPr>
            <w:tcW w:type="dxa" w:w="8050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证据角色和 claim validation 的 confusion matrix / precision-recall；不是只画 100% pass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Table 1</w:t>
            </w:r>
          </w:p>
        </w:tc>
        <w:tc>
          <w:tcPr>
            <w:tcW w:type="dxa" w:w="805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与相关工具的设计差异，明确不是性能排名</w:t>
            </w:r>
          </w:p>
        </w:tc>
      </w:tr>
      <w:tr>
        <w:tc>
          <w:tcPr>
            <w:tcW w:type="dxa" w:w="170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Table 2</w:t>
            </w:r>
          </w:p>
        </w:tc>
        <w:tc>
          <w:tcPr>
            <w:tcW w:type="dxa" w:w="8050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软件 conformance 和版本矩阵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Table 3</w:t>
            </w:r>
          </w:p>
        </w:tc>
        <w:tc>
          <w:tcPr>
            <w:tcW w:type="dxa" w:w="805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独立 claim benchmark 的逐任务结果</w:t>
            </w:r>
          </w:p>
        </w:tc>
      </w:tr>
      <w:tr>
        <w:tc>
          <w:tcPr>
            <w:tcW w:type="dxa" w:w="170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Table 4</w:t>
            </w:r>
          </w:p>
        </w:tc>
        <w:tc>
          <w:tcPr>
            <w:tcW w:type="dxa" w:w="8050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人类专家/用户评价设计和效应估计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Supplement</w:t>
            </w:r>
          </w:p>
        </w:tc>
        <w:tc>
          <w:tcPr>
            <w:tcW w:type="dxa" w:w="805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所有 prompts、case manifest、逐 claim labels、审计日志、原始脱敏输出和复现环境</w:t>
            </w:r>
          </w:p>
        </w:tc>
      </w:tr>
    </w:tbl>
    <w:p>
      <w:pPr>
        <w:spacing w:after="20"/>
      </w:pPr>
    </w:p>
    <w:p>
      <w:pPr>
        <w:pStyle w:val="Heading1"/>
      </w:pPr>
      <w:r>
        <w:t>十、逐文件改造清单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4876"/>
        <w:gridCol w:w="2551"/>
      </w:tblGrid>
      <w:tr>
        <w:trPr>
          <w:tblHeader/>
        </w:trPr>
        <w:tc>
          <w:tcPr>
            <w:tcW w:type="dxa" w:w="3362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文件/目录</w:t>
            </w:r>
          </w:p>
        </w:tc>
        <w:tc>
          <w:tcPr>
            <w:tcW w:type="dxa" w:w="3362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改动</w:t>
            </w:r>
          </w:p>
        </w:tc>
        <w:tc>
          <w:tcPr>
            <w:tcW w:type="dxa" w:w="3362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完成标志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R/utils.R</w:t>
            </w:r>
          </w:p>
        </w:tc>
        <w:tc>
          <w:tcPr>
            <w:tcW w:type="dxa" w:w="487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统一 JSON precision、hash、manifest、脱敏字段策略</w:t>
            </w:r>
          </w:p>
        </w:tc>
        <w:tc>
          <w:tcPr>
            <w:tcW w:type="dxa" w:w="255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新增 precision/hash 回归测试；研究和包使用同一序列化</w:t>
            </w:r>
          </w:p>
        </w:tc>
      </w:tr>
      <w:tr>
        <w:tc>
          <w:tcPr>
            <w:tcW w:type="dxa" w:w="232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R/context.R</w:t>
            </w:r>
          </w:p>
        </w:tc>
        <w:tc>
          <w:tcPr>
            <w:tcW w:type="dxa" w:w="4876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扩展 context provenance、modalities、sample map 和 manifest</w:t>
            </w:r>
          </w:p>
        </w:tc>
        <w:tc>
          <w:tcPr>
            <w:tcW w:type="dxa" w:w="255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MultiAssay/context conformance 测试通过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R/adapters-spatial.R（新增）</w:t>
            </w:r>
          </w:p>
        </w:tc>
        <w:tc>
          <w:tcPr>
            <w:tcW w:type="dxa" w:w="487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SpatialExperiment/Seurat spatial、坐标/区域/QC/空间结果 adapter</w:t>
            </w:r>
          </w:p>
        </w:tc>
        <w:tc>
          <w:tcPr>
            <w:tcW w:type="dxa" w:w="255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真实切片对象、空间结果表和脱敏 payload 通过</w:t>
            </w:r>
          </w:p>
        </w:tc>
      </w:tr>
      <w:tr>
        <w:tc>
          <w:tcPr>
            <w:tcW w:type="dxa" w:w="232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R/docking.R（新增）</w:t>
            </w:r>
          </w:p>
        </w:tc>
        <w:tc>
          <w:tcPr>
            <w:tcW w:type="dxa" w:w="4876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读取 docking 输出、结构/引擎/参数 provenance、pose/decoy facts；不内置未经审计的引擎执行</w:t>
            </w:r>
          </w:p>
        </w:tc>
        <w:tc>
          <w:tcPr>
            <w:tcW w:type="dxa" w:w="255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多引擎/负对照/结构 hash 的 conformance 测试通过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R/explanation-validation.R</w:t>
            </w:r>
          </w:p>
        </w:tc>
        <w:tc>
          <w:tcPr>
            <w:tcW w:type="dxa" w:w="487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typed claim ledger、claim policy、causal default unverified</w:t>
            </w:r>
          </w:p>
        </w:tc>
        <w:tc>
          <w:tcPr>
            <w:tcW w:type="dxa" w:w="255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注入错误 recall 和自由 prose 状态正确</w:t>
            </w:r>
          </w:p>
        </w:tc>
      </w:tr>
      <w:tr>
        <w:tc>
          <w:tcPr>
            <w:tcW w:type="dxa" w:w="232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R/evidence.R / evidence-live.R</w:t>
            </w:r>
          </w:p>
        </w:tc>
        <w:tc>
          <w:tcPr>
            <w:tcW w:type="dxa" w:w="4876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evidence role、support annotation、scope/organism matching</w:t>
            </w:r>
          </w:p>
        </w:tc>
        <w:tc>
          <w:tcPr>
            <w:tcW w:type="dxa" w:w="255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support/contradict/definition-only 单测和专家数据接口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R/project.R</w:t>
            </w:r>
          </w:p>
        </w:tc>
        <w:tc>
          <w:tcPr>
            <w:tcW w:type="dxa" w:w="487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跨模态依赖、sample alignment、conflict/derived evidence</w:t>
            </w:r>
          </w:p>
        </w:tc>
        <w:tc>
          <w:tcPr>
            <w:tcW w:type="dxa" w:w="255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真实多组学项目端到端报告</w:t>
            </w:r>
          </w:p>
        </w:tc>
      </w:tr>
      <w:tr>
        <w:tc>
          <w:tcPr>
            <w:tcW w:type="dxa" w:w="232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R/validate.R</w:t>
            </w:r>
          </w:p>
        </w:tc>
        <w:tc>
          <w:tcPr>
            <w:tcW w:type="dxa" w:w="4876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保留 callr 警告；增加外部 sandbox backend 接口或明确研究端隔离</w:t>
            </w:r>
          </w:p>
        </w:tc>
        <w:tc>
          <w:tcPr>
            <w:tcW w:type="dxa" w:w="255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安全边界文档与 sandbox 研究基线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R/record.R / runtime.R</w:t>
            </w:r>
          </w:p>
        </w:tc>
        <w:tc>
          <w:tcPr>
            <w:tcW w:type="dxa" w:w="487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artifact manifest、session/config/prompt/response hash</w:t>
            </w:r>
          </w:p>
        </w:tc>
        <w:tc>
          <w:tcPr>
            <w:tcW w:type="dxa" w:w="255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报告可重建且无 key/PII</w:t>
            </w:r>
          </w:p>
        </w:tc>
      </w:tr>
      <w:tr>
        <w:tc>
          <w:tcPr>
            <w:tcW w:type="dxa" w:w="232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R/plots.R / plot-cross-check.R</w:t>
            </w:r>
          </w:p>
        </w:tc>
        <w:tc>
          <w:tcPr>
            <w:tcW w:type="dxa" w:w="4876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扩展代表性 plot mappings；完整覆盖和 false-pass 统计</w:t>
            </w:r>
          </w:p>
        </w:tc>
        <w:tc>
          <w:tcPr>
            <w:tcW w:type="dxa" w:w="255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自然/注入图 benchmark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tests/testthat</w:t>
            </w:r>
          </w:p>
        </w:tc>
        <w:tc>
          <w:tcPr>
            <w:tcW w:type="dxa" w:w="487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增加 multiomics、precision、claim、evidence support、privacy、manifest 测试</w:t>
            </w:r>
          </w:p>
        </w:tc>
        <w:tc>
          <w:tcPr>
            <w:tcW w:type="dxa" w:w="255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 CMD check 和 CI 全绿</w:t>
            </w:r>
          </w:p>
        </w:tc>
      </w:tr>
      <w:tr>
        <w:tc>
          <w:tcPr>
            <w:tcW w:type="dxa" w:w="232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research/</w:t>
            </w:r>
          </w:p>
        </w:tc>
        <w:tc>
          <w:tcPr>
            <w:tcW w:type="dxa" w:w="4876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新建 frozen benchmark、label schema、expert adjudication、independent test runner</w:t>
            </w:r>
          </w:p>
        </w:tc>
        <w:tc>
          <w:tcPr>
            <w:tcW w:type="dxa" w:w="255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开发/测试集隔离并有 manifest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research/audit_results.R</w:t>
            </w:r>
          </w:p>
        </w:tc>
        <w:tc>
          <w:tcPr>
            <w:tcW w:type="dxa" w:w="487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改为审计 main_scale_480 和新 benchmark；历史结果单独入口</w:t>
            </w:r>
          </w:p>
        </w:tc>
        <w:tc>
          <w:tcPr>
            <w:tcW w:type="dxa" w:w="255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不会再读取旧 225/54 结果</w:t>
            </w:r>
          </w:p>
        </w:tc>
      </w:tr>
      <w:tr>
        <w:tc>
          <w:tcPr>
            <w:tcW w:type="dxa" w:w="232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README.md / docs/ROADMAP.md</w:t>
            </w:r>
          </w:p>
        </w:tc>
        <w:tc>
          <w:tcPr>
            <w:tcW w:type="dxa" w:w="4876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删除历史数字或明确 historical；更新当前 525/120/480 状态</w:t>
            </w:r>
          </w:p>
        </w:tc>
        <w:tc>
          <w:tcPr>
            <w:tcW w:type="dxa" w:w="255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grep 不再发现无标签旧主实验结论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487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补真实作者、维护者、URL、BugReports、版本和 DOI 发布信息</w:t>
            </w:r>
          </w:p>
        </w:tc>
        <w:tc>
          <w:tcPr>
            <w:tcW w:type="dxa" w:w="255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可公开安装和引用</w:t>
            </w:r>
          </w:p>
        </w:tc>
      </w:tr>
      <w:tr>
        <w:tc>
          <w:tcPr>
            <w:tcW w:type="dxa" w:w="232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GitHub/Zenodo/CI</w:t>
            </w:r>
          </w:p>
        </w:tc>
        <w:tc>
          <w:tcPr>
            <w:tcW w:type="dxa" w:w="4876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公开仓库、release、DOI、R CMD check matrix、artifact upload</w:t>
            </w:r>
          </w:p>
        </w:tc>
        <w:tc>
          <w:tcPr>
            <w:tcW w:type="dxa" w:w="255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第三方按 README 从零复现</w:t>
            </w:r>
          </w:p>
        </w:tc>
      </w:tr>
    </w:tbl>
    <w:p>
      <w:pPr>
        <w:spacing w:after="20"/>
      </w:pPr>
    </w:p>
    <w:p>
      <w:pPr>
        <w:pStyle w:val="Heading1"/>
      </w:pPr>
      <w:r>
        <w:t>十一、按周执行计划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515"/>
        <w:gridCol w:w="3402"/>
        <w:gridCol w:w="1701"/>
      </w:tblGrid>
      <w:tr>
        <w:trPr>
          <w:tblHeader/>
        </w:trPr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工作包</w:t>
            </w:r>
          </w:p>
        </w:tc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交付物</w:t>
            </w:r>
          </w:p>
        </w:tc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停/继续判断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第 0 周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冻结 0.3.1、清理历史状态、公开发布准备、修复审计脚本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clean branch、版本 manifest、单一结果目录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若旧数字仍混入论文，停止投稿路线</w:t>
            </w:r>
          </w:p>
        </w:tc>
      </w:tr>
      <w:tr>
        <w:tc>
          <w:tcPr>
            <w:tcW w:type="dxa" w:w="1247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第 1–2 周</w:t>
            </w:r>
          </w:p>
        </w:tc>
        <w:tc>
          <w:tcPr>
            <w:tcW w:type="dxa" w:w="351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precision + manifest + typed claim ledger skeleton</w:t>
            </w:r>
          </w:p>
        </w:tc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新 API、schema、单测、示例报告</w:t>
            </w:r>
          </w:p>
        </w:tc>
        <w:tc>
          <w:tcPr>
            <w:tcW w:type="dxa" w:w="170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P0 软件契约通过才进入 benchmark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第 2–4 周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MultiAssayExperiment/sample map/context 适配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一个真实多组学对象和端到端 project report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若数据不匹配，换数据，不拼接</w:t>
            </w:r>
          </w:p>
        </w:tc>
      </w:tr>
      <w:tr>
        <w:tc>
          <w:tcPr>
            <w:tcW w:type="dxa" w:w="1247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第 3–5 周</w:t>
            </w:r>
          </w:p>
        </w:tc>
        <w:tc>
          <w:tcPr>
            <w:tcW w:type="dxa" w:w="351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SpatialExperiment/Seurat spatial 与 docking provenance adapter</w:t>
            </w:r>
          </w:p>
        </w:tc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空间 context、结构 context、negative-control schema</w:t>
            </w:r>
          </w:p>
        </w:tc>
        <w:tc>
          <w:tcPr>
            <w:tcW w:type="dxa" w:w="170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结构层只做结果审计，不自动运行不受控 docking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第 3–6 周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冻结 claim benchmark 和 evidence support labels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case JSON、答案标准、专家标注模板、预注册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标签一致性不足则先修 rubric</w:t>
            </w:r>
          </w:p>
        </w:tc>
      </w:tr>
      <w:tr>
        <w:tc>
          <w:tcPr>
            <w:tcW w:type="dxa" w:w="1247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第 5–8 周</w:t>
            </w:r>
          </w:p>
        </w:tc>
        <w:tc>
          <w:tcPr>
            <w:tcW w:type="dxa" w:w="351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运行公平模型 baseline 和 BioExplainR 条件</w:t>
            </w:r>
          </w:p>
        </w:tc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原始 prompts/responses、cost、latency、逐 claim scores</w:t>
            </w:r>
          </w:p>
        </w:tc>
        <w:tc>
          <w:tcPr>
            <w:tcW w:type="dxa" w:w="170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任何调参后 test 集必须重冻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第 6–9 周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专家盲评、错误诊断/图形 benchmark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匿名评分、alpha/ICC、false-pass 分析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不能把方便样本结果写成用户收益</w:t>
            </w:r>
          </w:p>
        </w:tc>
      </w:tr>
      <w:tr>
        <w:tc>
          <w:tcPr>
            <w:tcW w:type="dxa" w:w="1247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第 8–10 周</w:t>
            </w:r>
          </w:p>
        </w:tc>
        <w:tc>
          <w:tcPr>
            <w:tcW w:type="dxa" w:w="351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空间转录组 + 结构层主案例和冲突/证据图</w:t>
            </w:r>
          </w:p>
        </w:tc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Figure 1/3、Table 2/3 草稿</w:t>
            </w:r>
          </w:p>
        </w:tc>
        <w:tc>
          <w:tcPr>
            <w:tcW w:type="dxa" w:w="170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没有真实空间主案例则转投软件期刊路线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第 9–11 周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用户任务研究或正式伦理材料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预注册、审批/豁免、任务数据和分析脚本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伦理未完成则不报告 user benefit</w:t>
            </w:r>
          </w:p>
        </w:tc>
      </w:tr>
      <w:tr>
        <w:tc>
          <w:tcPr>
            <w:tcW w:type="dxa" w:w="1247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第 11–13 周</w:t>
            </w:r>
          </w:p>
        </w:tc>
        <w:tc>
          <w:tcPr>
            <w:tcW w:type="dxa" w:w="3515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统计分析、论文重写、补充材料和 artifact</w:t>
            </w:r>
          </w:p>
        </w:tc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英文主稿、supplement、repo、DOI</w:t>
            </w:r>
          </w:p>
        </w:tc>
        <w:tc>
          <w:tcPr>
            <w:tcW w:type="dxa" w:w="1701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全部主张能回到原始记录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第 13–14 周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第三方复现、内部红队审稿、期刊格式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reproducibility report、response-to-reviewer 预案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P0/P1 未清零则不投 iMeta</w:t>
            </w:r>
          </w:p>
        </w:tc>
      </w:tr>
    </w:tbl>
    <w:p>
      <w:pPr>
        <w:spacing w:after="20"/>
      </w:pPr>
    </w:p>
    <w:p>
      <w:pPr>
        <w:pStyle w:val="Heading1"/>
      </w:pPr>
      <w:r>
        <w:t>十二、iMeta 与一区备选投稿决策树</w:t>
      </w:r>
    </w:p>
    <w:p>
      <w:r>
        <w:t>期刊分区会随年份、数据库和学科类别变化，投稿前必须用当年 JCR/CAS/期刊官网核验。以下是基于主题匹配和方法学要求的路线选择，不是对分区或录用的保证。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814"/>
        <w:gridCol w:w="3118"/>
        <w:gridCol w:w="2268"/>
      </w:tblGrid>
      <w:tr>
        <w:trPr>
          <w:tblHeader/>
        </w:trPr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完成状态</w:t>
            </w:r>
          </w:p>
        </w:tc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首选</w:t>
            </w:r>
          </w:p>
        </w:tc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备选</w:t>
            </w:r>
          </w:p>
        </w:tc>
        <w:tc>
          <w:tcPr>
            <w:tcW w:type="dxa" w:w="2521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稿件叙事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多组学案例 + 独立 claim benchmark + evidence support + 正规用户/专家研究</w:t>
            </w:r>
          </w:p>
        </w:tc>
        <w:tc>
          <w:tcPr>
            <w:tcW w:type="dxa" w:w="181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iMeta</w:t>
            </w:r>
          </w:p>
        </w:tc>
        <w:tc>
          <w:tcPr>
            <w:tcW w:type="dxa" w:w="311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Briefings in Bioinformatics、PLOS Computational Biology（按当年分区和 scope 核验）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integrated omics reliability layer</w:t>
            </w:r>
          </w:p>
        </w:tc>
      </w:tr>
      <w:tr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多组学案例 + 强 benchmark，但没有正式用户实验</w:t>
            </w:r>
          </w:p>
        </w:tc>
        <w:tc>
          <w:tcPr>
            <w:tcW w:type="dxa" w:w="181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iMeta 或 NAR Genomics and Bioinformatics</w:t>
            </w:r>
          </w:p>
        </w:tc>
        <w:tc>
          <w:tcPr>
            <w:tcW w:type="dxa" w:w="311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Bioinformatics</w:t>
            </w:r>
          </w:p>
        </w:tc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reproducible computational method with independent validation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只有转录组/单细胞 + 强 claim benchmark</w:t>
            </w:r>
          </w:p>
        </w:tc>
        <w:tc>
          <w:tcPr>
            <w:tcW w:type="dxa" w:w="181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Bioinformatics / NAR Genomics and Bioinformatics</w:t>
            </w:r>
          </w:p>
        </w:tc>
        <w:tc>
          <w:tcPr>
            <w:tcW w:type="dxa" w:w="311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PLOS Computational Biology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verifiable interpretation of bioinformatics objects</w:t>
            </w:r>
          </w:p>
        </w:tc>
      </w:tr>
      <w:tr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只有软件 QA、transport fidelity 和机制 challenge</w:t>
            </w:r>
          </w:p>
        </w:tc>
        <w:tc>
          <w:tcPr>
            <w:tcW w:type="dxa" w:w="181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Bioinformatics Advances / BMC Bioinformatics 等软件方法期刊</w:t>
            </w:r>
          </w:p>
        </w:tc>
        <w:tc>
          <w:tcPr>
            <w:tcW w:type="dxa" w:w="311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不应把 iMeta 当作唯一目标</w:t>
            </w:r>
          </w:p>
        </w:tc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software framework and reproducibility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2CC"/>
          </w:tcPr>
          <w:p>
            <w:pPr>
              <w:spacing w:after="40"/>
            </w:pPr>
            <w:r/>
            <w:r>
              <w:rPr>
                <w:b/>
                <w:color w:val="174B5D"/>
              </w:rPr>
              <w:t>最低 iMeta 送审门槛</w:t>
              <w:br/>
            </w:r>
            <w:r>
              <w:t>至少同时满足：一个真实匹配多组学案例；独立 test set 的 claim-level 结果；公平 baseline；证据支持关系评价；公开 repo/DOI/环境；所有 P0 清零；当前人类评价不再被夸大；论文不把 transport fidelity 当模型推理能力。</w:t>
            </w:r>
          </w:p>
        </w:tc>
      </w:tr>
    </w:tbl>
    <w:p>
      <w:pPr>
        <w:spacing w:after="20"/>
      </w:pPr>
    </w:p>
    <w:p>
      <w:pPr>
        <w:pStyle w:val="Heading1"/>
      </w:pPr>
      <w:r>
        <w:t>十三、80 分投稿准备度评分表</w:t>
      </w:r>
    </w:p>
    <w:p>
      <w:r>
        <w:t>这是团队内部的 go/no-go 评分，不是录用概率。若总分未达到 80，或者任一 P0 未完成，不建议投 iMeta。达到 80 也只能表示材料足够成熟，可以进入编辑筛选和同行评审。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850"/>
        <w:gridCol w:w="3402"/>
        <w:gridCol w:w="1134"/>
        <w:gridCol w:w="2268"/>
      </w:tblGrid>
      <w:tr>
        <w:trPr>
          <w:tblHeader/>
        </w:trPr>
        <w:tc>
          <w:tcPr>
            <w:tcW w:type="dxa" w:w="2017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2017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权重</w:t>
            </w:r>
          </w:p>
        </w:tc>
        <w:tc>
          <w:tcPr>
            <w:tcW w:type="dxa" w:w="2017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80 分门槛</w:t>
            </w:r>
          </w:p>
        </w:tc>
        <w:tc>
          <w:tcPr>
            <w:tcW w:type="dxa" w:w="2017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当前估计</w:t>
            </w:r>
          </w:p>
        </w:tc>
        <w:tc>
          <w:tcPr>
            <w:tcW w:type="dxa" w:w="2017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补齐动作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iMeta/组学主题匹配</w:t>
            </w:r>
          </w:p>
        </w:tc>
        <w:tc>
          <w:tcPr>
            <w:tcW w:type="dxa" w:w="85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真实跨模态主案例和明确科学问题</w:t>
            </w:r>
          </w:p>
        </w:tc>
        <w:tc>
          <w:tcPr>
            <w:tcW w:type="dxa" w:w="113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MultiAssay + matched omics case</w:t>
            </w:r>
          </w:p>
        </w:tc>
      </w:tr>
      <w:tr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独立科学证据</w:t>
            </w:r>
          </w:p>
        </w:tc>
        <w:tc>
          <w:tcPr>
            <w:tcW w:type="dxa" w:w="850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冻结 test set；claim/evidence/diagnosis 指标和 CI</w:t>
            </w:r>
          </w:p>
        </w:tc>
        <w:tc>
          <w:tcPr>
            <w:tcW w:type="dxa" w:w="113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100–200 claims、专家标注、fair baselines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方法创新与可解释边界</w:t>
            </w:r>
          </w:p>
        </w:tc>
        <w:tc>
          <w:tcPr>
            <w:tcW w:type="dxa" w:w="85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typed claims、证据角色、冲突和不确定性可验证</w:t>
            </w:r>
          </w:p>
        </w:tc>
        <w:tc>
          <w:tcPr>
            <w:tcW w:type="dxa" w:w="113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claim ledger + support policy</w:t>
            </w:r>
          </w:p>
        </w:tc>
      </w:tr>
      <w:tr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软件和复现</w:t>
            </w:r>
          </w:p>
        </w:tc>
        <w:tc>
          <w:tcPr>
            <w:tcW w:type="dxa" w:w="850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公开 repo、DOI、CI、container、R CMD check、artifact manifest</w:t>
            </w:r>
          </w:p>
        </w:tc>
        <w:tc>
          <w:tcPr>
            <w:tcW w:type="dxa" w:w="113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发布和第三方复现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人类评价</w:t>
            </w:r>
          </w:p>
        </w:tc>
        <w:tc>
          <w:tcPr>
            <w:tcW w:type="dxa" w:w="85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伦理/招募/任务正确率/盲法或正式专家评价</w:t>
            </w:r>
          </w:p>
        </w:tc>
        <w:tc>
          <w:tcPr>
            <w:tcW w:type="dxa" w:w="113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预注册和真实任务研究</w:t>
            </w:r>
          </w:p>
        </w:tc>
      </w:tr>
      <w:tr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论文主张一致性</w:t>
            </w:r>
          </w:p>
        </w:tc>
        <w:tc>
          <w:tcPr>
            <w:tcW w:type="dxa" w:w="850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无历史数字、无过度 claim、主次终点分开</w:t>
            </w:r>
          </w:p>
        </w:tc>
        <w:tc>
          <w:tcPr>
            <w:tcW w:type="dxa" w:w="113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重写主稿和审计器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数据与伦理/作者信息</w:t>
            </w:r>
          </w:p>
        </w:tc>
        <w:tc>
          <w:tcPr>
            <w:tcW w:type="dxa" w:w="85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作者、基金、COI、伦理、数据管理全部真实填写</w:t>
            </w:r>
          </w:p>
        </w:tc>
        <w:tc>
          <w:tcPr>
            <w:tcW w:type="dxa" w:w="113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投稿前核验并补齐</w:t>
            </w:r>
          </w:p>
        </w:tc>
      </w:tr>
      <w:tr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合计</w:t>
            </w:r>
          </w:p>
        </w:tc>
        <w:tc>
          <w:tcPr>
            <w:tcW w:type="dxa" w:w="850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3402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≥80 且 P0=0</w:t>
            </w:r>
          </w:p>
        </w:tc>
        <w:tc>
          <w:tcPr>
            <w:tcW w:type="dxa" w:w="1134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226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预计 12–14 周集中改造</w:t>
            </w:r>
          </w:p>
        </w:tc>
      </w:tr>
    </w:tbl>
    <w:p>
      <w:pPr>
        <w:spacing w:after="20"/>
      </w:pPr>
    </w:p>
    <w:p>
      <w:pPr>
        <w:pStyle w:val="Heading1"/>
      </w:pPr>
      <w:r>
        <w:t>十四、最终投稿前验收清单</w:t>
      </w:r>
    </w:p>
    <w:p>
      <w:pPr>
        <w:pStyle w:val="Heading2"/>
      </w:pPr>
      <w:r>
        <w:t>软件</w:t>
      </w:r>
    </w:p>
    <w:p>
      <w:pPr>
        <w:pStyle w:val="ListBullet"/>
        <w:spacing w:after="60"/>
      </w:pPr>
      <w:r>
        <w:t>□ R CMD check --as-cran 无 ERROR/WARNING；testthat 和 optional-dependency matrix 有记录</w:t>
      </w:r>
    </w:p>
    <w:p>
      <w:pPr>
        <w:pStyle w:val="ListBullet"/>
        <w:spacing w:after="60"/>
      </w:pPr>
      <w:r>
        <w:t>□ 精度、隐私、claim schema、证据角色、MultiAssay 对象、图形和修复验证测试通过</w:t>
      </w:r>
    </w:p>
    <w:p>
      <w:pPr>
        <w:pStyle w:val="ListBullet"/>
        <w:spacing w:after="60"/>
      </w:pPr>
      <w:r>
        <w:t>□ 所有 exported functions 的 Rd、README、用户指南和示例一致</w:t>
      </w:r>
    </w:p>
    <w:p>
      <w:pPr>
        <w:pStyle w:val="ListBullet"/>
        <w:spacing w:after="60"/>
      </w:pPr>
      <w:r>
        <w:t>□ 没有把 callr 或 Shiny 描述为 OS sandbox；网络和文件权限边界写清楚</w:t>
      </w:r>
    </w:p>
    <w:p>
      <w:pPr>
        <w:pStyle w:val="Heading2"/>
      </w:pPr>
      <w:r>
        <w:t>研究</w:t>
      </w:r>
    </w:p>
    <w:p>
      <w:pPr>
        <w:pStyle w:val="ListBullet"/>
        <w:spacing w:after="60"/>
      </w:pPr>
      <w:r>
        <w:t>□ 开发案例、调参案例和最终 test set 有时间戳和 hash；最终 test set 未参与开发</w:t>
      </w:r>
    </w:p>
    <w:p>
      <w:pPr>
        <w:pStyle w:val="ListBullet"/>
        <w:spacing w:after="60"/>
      </w:pPr>
      <w:r>
        <w:t>□ transport fidelity、statistical interpretation、evidence support、user benefit 分开计分</w:t>
      </w:r>
    </w:p>
    <w:p>
      <w:pPr>
        <w:pStyle w:val="ListBullet"/>
        <w:spacing w:after="60"/>
      </w:pPr>
      <w:r>
        <w:t>□ 每个主结论有 reference facts、原始响应、评分记录、脚本和 manifest</w:t>
      </w:r>
    </w:p>
    <w:p>
      <w:pPr>
        <w:pStyle w:val="ListBullet"/>
        <w:spacing w:after="60"/>
      </w:pPr>
      <w:r>
        <w:t>□ 模型版本或可复现实验日期、prompt、token、temperature、cost 和失败重试全部记录</w:t>
      </w:r>
    </w:p>
    <w:p>
      <w:pPr>
        <w:pStyle w:val="Heading2"/>
      </w:pPr>
      <w:r>
        <w:t>多组学</w:t>
      </w:r>
    </w:p>
    <w:p>
      <w:pPr>
        <w:pStyle w:val="ListBullet"/>
        <w:spacing w:after="60"/>
      </w:pPr>
      <w:r>
        <w:t>□ 样本交集、缺失模态、批次、donor、group 和 timepoint 都有数据表</w:t>
      </w:r>
    </w:p>
    <w:p>
      <w:pPr>
        <w:pStyle w:val="ListBullet"/>
        <w:spacing w:after="60"/>
      </w:pPr>
      <w:r>
        <w:t>□ 至少一个真实匹配的 SpatialExperiment/Seurat spatial 案例可在干净环境重建</w:t>
      </w:r>
    </w:p>
    <w:p>
      <w:pPr>
        <w:pStyle w:val="ListBullet"/>
        <w:spacing w:after="60"/>
      </w:pPr>
      <w:r>
        <w:t>□ 空间统计记录 spot/区域分母、邻接定义、切片/样本层级和空间 QC</w:t>
      </w:r>
    </w:p>
    <w:p>
      <w:pPr>
        <w:pStyle w:val="ListBullet"/>
        <w:spacing w:after="60"/>
      </w:pPr>
      <w:r>
        <w:t>□ 若接入 docking，结构文件、引擎、参数、pose、decoy 和 negative control 全部可追溯</w:t>
      </w:r>
    </w:p>
    <w:p>
      <w:pPr>
        <w:pStyle w:val="ListBullet"/>
        <w:spacing w:after="60"/>
      </w:pPr>
      <w:r>
        <w:t>□ 跨模态一致方向、空间共定位和 docking score 都不被写成因果或实验结合；派生证据和独立证据明确分开</w:t>
      </w:r>
    </w:p>
    <w:p>
      <w:pPr>
        <w:pStyle w:val="Heading2"/>
      </w:pPr>
      <w:r>
        <w:t>人类与伦理</w:t>
      </w:r>
    </w:p>
    <w:p>
      <w:pPr>
        <w:pStyle w:val="ListBullet"/>
        <w:spacing w:after="60"/>
      </w:pPr>
      <w:r>
        <w:t>□ 真实招募、参与者背景、知情同意、补偿和伦理审批/豁免已核实</w:t>
      </w:r>
    </w:p>
    <w:p>
      <w:pPr>
        <w:pStyle w:val="ListBullet"/>
        <w:spacing w:after="60"/>
      </w:pPr>
      <w:r>
        <w:t>□ 专家评分保留匿名原始数据，报告适合的可靠性指标和裁决流程</w:t>
      </w:r>
    </w:p>
    <w:p>
      <w:pPr>
        <w:pStyle w:val="ListBullet"/>
        <w:spacing w:after="60"/>
      </w:pPr>
      <w:r>
        <w:t>□ 用户任务有对照、正确率、时间和预注册的主终点；没有就不写用户收益</w:t>
      </w:r>
    </w:p>
    <w:p>
      <w:pPr>
        <w:pStyle w:val="Heading2"/>
      </w:pPr>
      <w:r>
        <w:t>投稿材料</w:t>
      </w:r>
    </w:p>
    <w:p>
      <w:pPr>
        <w:pStyle w:val="ListBullet"/>
        <w:spacing w:after="60"/>
      </w:pPr>
      <w:r>
        <w:t>□ 作者、单位、通讯邮箱、CRediT、基金、利益冲突和 AI 使用声明真实完成</w:t>
      </w:r>
    </w:p>
    <w:p>
      <w:pPr>
        <w:pStyle w:val="ListBullet"/>
        <w:spacing w:after="60"/>
      </w:pPr>
      <w:r>
        <w:t>□ GitHub release、Zenodo DOI、LICENSE、container/renv.lock、CI 和复现说明公开</w:t>
      </w:r>
    </w:p>
    <w:p>
      <w:pPr>
        <w:pStyle w:val="ListBullet"/>
        <w:spacing w:after="60"/>
      </w:pPr>
      <w:r>
        <w:t>□ 主文、补充材料、图表、原始 records、代码和哈希一致；审计器使用当前冻结目录</w:t>
      </w:r>
    </w:p>
    <w:p>
      <w:pPr>
        <w:pStyle w:val="ListBullet"/>
        <w:spacing w:after="60"/>
      </w:pPr>
      <w:r>
        <w:t>□ iMeta scope 和当年分区核验完成；同时准备 Bioinformatics/NAR G&amp;B/PLOS Comp Bio 路线版本</w:t>
      </w:r>
    </w:p>
    <w:p>
      <w:pPr>
        <w:pStyle w:val="Heading1"/>
      </w:pPr>
      <w:r>
        <w:t>十五、明确不要做的事</w:t>
      </w:r>
    </w:p>
    <w:p>
      <w:pPr>
        <w:pStyle w:val="ListBullet"/>
        <w:spacing w:after="60"/>
      </w:pPr>
      <w:r>
        <w:t>不要把 facts_only/facts_evidence 的 100% 写成模型具有 100% 生物信息学解释准确率。</w:t>
      </w:r>
    </w:p>
    <w:p>
      <w:pPr>
        <w:pStyle w:val="ListBullet"/>
        <w:spacing w:after="60"/>
      </w:pPr>
      <w:r>
        <w:t>不要把程序生成的 120 个案例写成 120 个独立生物学样本，也不要把三轮重复当成独立样本推断。</w:t>
      </w:r>
    </w:p>
    <w:p>
      <w:pPr>
        <w:pStyle w:val="ListBullet"/>
        <w:spacing w:after="60"/>
      </w:pPr>
      <w:r>
        <w:t>不要把当前 3 位评分者和 30 位功能评分的聚合结果写成正式用户实验、学习增益或临床效用。</w:t>
      </w:r>
    </w:p>
    <w:p>
      <w:pPr>
        <w:pStyle w:val="ListBullet"/>
        <w:spacing w:after="60"/>
      </w:pPr>
      <w:r>
        <w:t>不要把数据库 term definition、Europe PMC 搜索命中或 UniProt annotation 自动写成实验通路激活/机制证据。</w:t>
      </w:r>
    </w:p>
    <w:p>
      <w:pPr>
        <w:pStyle w:val="ListBullet"/>
        <w:spacing w:after="60"/>
      </w:pPr>
      <w:r>
        <w:t>不要把 iSEE、GPTCelltype、ellmer 的入口测试写成相近工具性能排名。</w:t>
      </w:r>
    </w:p>
    <w:p>
      <w:pPr>
        <w:pStyle w:val="ListBullet"/>
        <w:spacing w:after="60"/>
      </w:pPr>
      <w:r>
        <w:t>不要在没有真实空间/多组学主案例前使用 integrated omics 作为论文核心标题。</w:t>
      </w:r>
    </w:p>
    <w:p>
      <w:pPr>
        <w:pStyle w:val="ListBullet"/>
        <w:spacing w:after="60"/>
      </w:pPr>
      <w:r>
        <w:t>不要把空间共定位、ligand-receptor 表达或 docking score 单独写成真实分子结合、通路激活或治疗机制。</w:t>
      </w:r>
    </w:p>
    <w:p>
      <w:pPr>
        <w:pStyle w:val="ListBullet"/>
        <w:spacing w:after="60"/>
      </w:pPr>
      <w:r>
        <w:t>不要把不同 docking 引擎的 score 放在同一尺度直接排名，也不要忽略 decoy、构象和口袋定义的敏感性。</w:t>
      </w:r>
    </w:p>
    <w:p>
      <w:pPr>
        <w:pStyle w:val="ListBullet"/>
        <w:spacing w:after="60"/>
      </w:pPr>
      <w:r>
        <w:t>不要继续用功能数量替代科学问题和独立终点。</w:t>
      </w:r>
    </w:p>
    <w:p>
      <w:pPr>
        <w:pStyle w:val="ListBullet"/>
        <w:spacing w:after="60"/>
      </w:pPr>
      <w:r>
        <w:t>不要上传 token、API key、原始患者/样本标识或未脱敏评分文件。</w:t>
      </w:r>
    </w:p>
    <w:p>
      <w:pPr>
        <w:pStyle w:val="Heading1"/>
      </w:pPr>
      <w:r>
        <w:t>附录 A：74 个导出函数的当前功能地图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370"/>
      </w:tblGrid>
      <w:tr>
        <w:trPr>
          <w:tblHeader/>
        </w:trPr>
        <w:tc>
          <w:tcPr>
            <w:tcW w:type="dxa" w:w="5043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功能组</w:t>
            </w:r>
          </w:p>
        </w:tc>
        <w:tc>
          <w:tcPr>
            <w:tcW w:type="dxa" w:w="5043"/>
            <w:vAlign w:val="center"/>
            <w:shd w:fill="285E75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  <w:sz w:val="16"/>
              </w:rPr>
              <w:t>函数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模型配置与调用（13）</w:t>
            </w:r>
          </w:p>
        </w:tc>
        <w:tc>
          <w:tcPr>
            <w:tcW w:type="dxa" w:w="737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bio_config; bio_configure; bio_get_config; bio_reset_config; bio_presets; bio_register_preset; bio_unregister_preset; bio_endpoint_url; bio_llm_available; bio_build_request; bio_llm_chat; bio_parse_response; bio_redact</w:t>
            </w:r>
          </w:p>
        </w:tc>
      </w:tr>
      <w:tr>
        <w:tc>
          <w:tcPr>
            <w:tcW w:type="dxa" w:w="243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对象解析与适配器（6）</w:t>
            </w:r>
          </w:p>
        </w:tc>
        <w:tc>
          <w:tcPr>
            <w:tcW w:type="dxa" w:w="7370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bio_context; new_bio_context; bio_context_payload; bio_adapters; bio_register_adapter; bio_unregister_adapter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解释与声明（2）</w:t>
            </w:r>
          </w:p>
        </w:tc>
        <w:tc>
          <w:tcPr>
            <w:tcW w:type="dxa" w:w="737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bio_explain; bio_validate_explanation</w:t>
            </w:r>
          </w:p>
        </w:tc>
      </w:tr>
      <w:tr>
        <w:tc>
          <w:tcPr>
            <w:tcW w:type="dxa" w:w="243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证据与来源（13）</w:t>
            </w:r>
          </w:p>
        </w:tc>
        <w:tc>
          <w:tcPr>
            <w:tcW w:type="dxa" w:w="7370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bio_evidence; bio_evidence_register; bio_evidence_list; bio_evidence_clear; bio_evidence_lookup; bio_register_evidence_provider; bio_fetch_evidence; bio_evidence_for_context; bio_evidence_providers; bio_register_live_providers; bio_evidence_cache_clear; bio_go_annotations; bio_dependency_provenance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图形与组成（7）</w:t>
            </w:r>
          </w:p>
        </w:tc>
        <w:tc>
          <w:tcPr>
            <w:tcW w:type="dxa" w:w="737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bio_plot; bio_plot_pca; bio_plot_umap; bio_plot_enrichment; bio_plot_heatmap; bio_cross_check; bio_cell_proportions</w:t>
            </w:r>
          </w:p>
        </w:tc>
      </w:tr>
      <w:tr>
        <w:tc>
          <w:tcPr>
            <w:tcW w:type="dxa" w:w="243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记录、诊断与修复（16）</w:t>
            </w:r>
          </w:p>
        </w:tc>
        <w:tc>
          <w:tcPr>
            <w:tcW w:type="dxa" w:w="7370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bio_record; bio_record_code; bio_records; bio_value; bio_last_error; bio_explain_error; bio_suggest_fix; bio_validate_fix; bio_invariant; inv_class; inv_equal; inv_factor_levels; inv_has_columns; inv_no_na; inv_nrow; inv_same_nrow_as_input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运行环境、项目与报告（6）</w:t>
            </w:r>
          </w:p>
        </w:tc>
        <w:tc>
          <w:tcPr>
            <w:tcW w:type="dxa" w:w="737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bio_runtime_info; bio_object_inventory; bio_package_usage; bio_project; bio_explain_project; bio_report</w:t>
            </w:r>
          </w:p>
        </w:tc>
      </w:tr>
      <w:tr>
        <w:tc>
          <w:tcPr>
            <w:tcW w:type="dxa" w:w="2438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教学与评估（10）</w:t>
            </w:r>
          </w:p>
        </w:tc>
        <w:tc>
          <w:tcPr>
            <w:tcW w:type="dxa" w:w="7370"/>
            <w:vAlign w:val="center"/>
            <w:shd w:fill="F2F6F7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bio_question_bank; bio_quiz; bio_grade; bio_review_rubric; bio_benchmark; bio_benchmark_fixes; bio_evaluate_experts; bio_evaluate_learning; bio_plan_learning_study; bio_randomize_learning_study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工作台（1）</w:t>
            </w:r>
          </w:p>
        </w:tc>
        <w:tc>
          <w:tcPr>
            <w:tcW w:type="dxa" w:w="737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bio_run_app</w:t>
            </w:r>
          </w:p>
        </w:tc>
      </w:tr>
    </w:tbl>
    <w:p>
      <w:pPr>
        <w:spacing w:after="20"/>
      </w:pPr>
    </w:p>
    <w:p>
      <w:pPr>
        <w:pStyle w:val="Heading1"/>
      </w:pPr>
      <w:r>
        <w:t>附录 B：建议的第一轮新目录</w:t>
      </w:r>
    </w:p>
    <w:p>
      <w:pPr>
        <w:pStyle w:val="CodeRoadmap"/>
      </w:pPr>
      <w:r>
        <w:t>research/</w:t>
        <w:br/>
        <w:t xml:space="preserve">  frozen_benchmark/</w:t>
        <w:br/>
        <w:t xml:space="preserve">    cases/                 # 开发集和 test 集分离</w:t>
        <w:br/>
        <w:t xml:space="preserve">    claim_schema.json</w:t>
        <w:br/>
        <w:t xml:space="preserve">    evidence_labels.csv</w:t>
        <w:br/>
        <w:t xml:space="preserve">    expert_adjudication.csv</w:t>
        <w:br/>
        <w:t xml:space="preserve">    benchmark_manifest.json</w:t>
        <w:br/>
        <w:t xml:space="preserve">  multiomics/</w:t>
        <w:br/>
        <w:t xml:space="preserve">    download_manifest.csv</w:t>
        <w:br/>
        <w:t xml:space="preserve">    sample_map.csv</w:t>
        <w:br/>
        <w:t xml:space="preserve">    run_multiomics_case.R</w:t>
        <w:br/>
        <w:t xml:space="preserve">  run_claim_benchmark.R</w:t>
        <w:br/>
        <w:t xml:space="preserve">  run_evidence_support_benchmark.R</w:t>
        <w:br/>
        <w:t xml:space="preserve">  run_error_diagnosis_benchmark.R</w:t>
        <w:br/>
        <w:t xml:space="preserve">  run_plot_audit_benchmark.R</w:t>
        <w:br/>
        <w:t xml:space="preserve">  audit_current_results.R</w:t>
        <w:br/>
        <w:t xml:space="preserve">  results/</w:t>
        <w:br/>
        <w:t xml:space="preserve">    frozen_v1/</w:t>
        <w:br/>
        <w:t xml:space="preserve">      prompts/ responses/ scores/ manifests/</w:t>
        <w:br/>
        <w:t>docs/</w:t>
        <w:br/>
        <w:t xml:space="preserve">  PAPER_DRAFT.md</w:t>
        <w:br/>
        <w:t xml:space="preserve">  SUPPLEMENTARY_MATERIAL.md</w:t>
        <w:br/>
        <w:t xml:space="preserve">  DATA_DICTIONARY.md</w:t>
        <w:br/>
        <w:t xml:space="preserve">  ETHICS_AND_HUMAN_EVALUATION.md</w:t>
        <w:br/>
        <w:t xml:space="preserve">  REPRODUCTION.md</w:t>
      </w:r>
    </w:p>
    <w:p>
      <w:pPr>
        <w:pStyle w:val="Heading1"/>
      </w:pPr>
      <w:r>
        <w:t>结论</w:t>
      </w:r>
    </w:p>
    <w:p>
      <w:r>
        <w:t>BioExplainR 现在已经具备一篇扎实软件方法学论文的骨架，真正的短板不是代码量，而是主张与证据不在同一个层级：软件提供了声明和证据的检查接口，但当前研究主要验证接口机制；论文想进入 iMeta 或其他一区，需要把这些接口用于独立的真实多组学科学问题，并量化它们是否减少统计误读、无支持生物学表述和证据错配。</w:t>
      </w:r>
    </w:p>
    <w:p>
      <w:r>
        <w:t>最推荐的路线是：先把 0.3.1 冻结为 reproducibility baseline，修复历史审计和 JSON 精度问题；然后完成 typed claim ledger、证据支持关系和一个真实匹配多组学案例；接着运行开发集完全隔离的 claim-level benchmark，并在条件允许时完成伦理完整的用户任务研究。只有当 P0 清零、内部投稿准备度达到 80/100、主文每个数字和主张都能回到独立记录时，再把 iMeta 作为首投，并准备 NAR Genomics and Bioinformatics、Bioinformatics 或 PLOS Computational Biology 的针对性版本。</w:t>
      </w:r>
    </w:p>
    <w:sectPr w:rsidR="00FC693F" w:rsidRPr="0006063C" w:rsidSect="00034616">
      <w:footerReference w:type="default" r:id="rId9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BioExplainR iMeta/Q1 submission roadmap | internal planning document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Calibri" w:hAnsi="Calibri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74B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85E7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3E687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 w:eastAsia="Noto Sans CJK SC"/>
      <w:color w:val="174B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80" w:after="80"/>
    </w:pPr>
    <w:rPr>
      <w:rFonts w:asciiTheme="majorHAnsi" w:eastAsiaTheme="majorEastAsia" w:hAnsiTheme="majorHAnsi" w:cstheme="majorBidi" w:ascii="Calibri" w:hAnsi="Calibri" w:eastAsia="Noto Sans CJK SC"/>
      <w:i/>
      <w:iCs/>
      <w:color w:val="52656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Roadmap">
    <w:name w:val="Code Roadmap"/>
    <w:pPr>
      <w:spacing w:before="60" w:after="120"/>
      <w:ind w:left="255" w:right="142"/>
    </w:pPr>
    <w:rPr>
      <w:rFonts w:ascii="DejaVu Sans Mono" w:hAnsi="DejaVu Sans Mono" w:eastAsia="Noto Sans CJK SC"/>
      <w:color w:val="26323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