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BioExplainR：已有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生物信息学对象的确定性事实驱动与可检查解释框架</w:t>
      </w:r>
    </w:p>
    <w:p>
      <w:pPr>
        <w:pStyle w:val="Subtitle"/>
      </w:pPr>
      <w:r>
        <w:rPr>
          <w:b w:val="0"/>
          <w:i w:val="0"/>
        </w:rPr>
        <w:t>面向英文方法期刊的中文初稿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v0.7</w:t>
      </w:r>
    </w:p>
    <w:p>
      <w:pPr/>
      <w:r>
        <w:rPr>
          <w:b w:val="0"/>
          <w:i w:val="0"/>
        </w:rPr>
        <w:t>2026-10-05</w:t>
      </w:r>
    </w:p>
    <w:p>
      <w:pPr>
        <w:pStyle w:val="Heading1"/>
      </w:pPr>
      <w:r>
        <w:rPr>
          <w:b w:val="0"/>
          <w:i w:val="0"/>
        </w:rPr>
        <w:t>摘要</w:t>
      </w:r>
    </w:p>
    <w:p>
      <w:r>
        <w:rPr>
          <w:b/>
          <w:i w:val="0"/>
        </w:rPr>
        <w:t>动机：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初级生物信息学研究者能够运行分析代码，却可能难以判断结果中的比较方向、统计阈值和生物学含义。我们开发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BioExplainR，将统计计算保留在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侧，再由本地模板或可选模型组织具有来源状态的解释。</w:t>
      </w:r>
    </w:p>
    <w:p>
      <w:r>
        <w:rPr>
          <w:b/>
          <w:i w:val="0"/>
        </w:rPr>
        <w:t>方法：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我们将输入对象的事实提取、模型语言组织、声明/图形核对和修复不变量分别实现；在五个公开数据集（airway、PBMC3k、pasilla、ALL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bladderbatch）上进行分层对象接入与事实核对，并以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个可复现案例、480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个目标事实、三种输入方法和三轮重复调用评价事实传递，再以外部评分者聚合评价和浏览器自动化记录软件行为。外部评价数据仅作描述性功能感知分析。</w:t>
      </w:r>
    </w:p>
    <w:p>
      <w:r>
        <w:rPr>
          <w:b/>
          <w:i w:val="0"/>
        </w:rPr>
        <w:t>结果：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  <w:vertAlign w:val="subscript"/>
        </w:rPr>
        <w:t>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时得到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999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个显著特征，其中上调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519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个、下调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个。主实验共完成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请求和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4,320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条逐事实评分；有界原始输出严格匹配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437/1,440（30.35%），覆盖率为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35.83%，已回答准确率为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84.69%，R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事实摘要和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事实加证据均为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1,440/1,440（100%）。StepFun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的双模型规模任务各为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480/480；独立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数据的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项事实核对全部通过。3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位外部评分者对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个匿名解释案例的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条评分总体均值为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1.751/2，case-dimension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完全一致率为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93.75%；30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位评分参与者对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项功能的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条功能感知评分总体均值为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91.98/100，144/150（96.0%）标记为有用。</w:t>
      </w:r>
    </w:p>
    <w:p>
      <w:r>
        <w:rPr>
          <w:b/>
          <w:i w:val="0"/>
        </w:rPr>
        <w:t>结论与可用性：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在本研究的固定输入和受控挑战中，BioExplainR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留了确定性事实、来源和检查状态；这些结果不证明模型自由文本、生物学解释或真实用户收益。外部评分是未预注册、无对照任务的描述性功能感知评价，不是随机对照、SUS、学习增益或临床效用证据。软件采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许可证，验证环境为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4.3.3、BioExplainR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0.3.1；公开代码仓库、发布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和通讯作者信息待作者补齐。</w:t>
      </w:r>
    </w:p>
    <w:p>
      <w:r>
        <w:rPr>
          <w:b/>
          <w:i w:val="0"/>
        </w:rPr>
        <w:t>关键词：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生物信息学；R；大语言模型；确定性事实；可追溯解释；声明验证；Shiny</w:t>
      </w:r>
    </w:p>
    <w:p>
      <w:pPr>
        <w:pStyle w:val="Heading1"/>
      </w:pP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引言</w:t>
      </w:r>
    </w:p>
    <w:p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与单细胞分析依赖多个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R/Bioconductor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软件包：DESeq2、limma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实施统计推断，Bioconductor、SingleCellExperiment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Seurat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组织实验对象，ggplot2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表达图形映射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[1-7]。这些计算结果仍需解释。本文将初级生物信息学研究者（primary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researchers）定义为能够运行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代码、但尚不能独立判断统计与生物学含义的用户。其常见困难包括把文库数或细胞数当作独立重复、混淆原始与校正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值、反转比较方向，以及从富集显著性直接推断通路激活。</w:t>
      </w:r>
    </w:p>
    <w:p>
      <w:r>
        <w:rPr>
          <w:b w:val="0"/>
          <w:i w:val="0"/>
        </w:rPr>
        <w:t>面向生物信息学的大语言模型工具已覆盖细胞类型标注、工作流辅助、基因集解释和通用代理。GPTCelltype、SCassist、GeneAgent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AnnDictionary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分别研究这些任务及其评价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[8-11]；BioChatter、Biomni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BioMaster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连接知识资源、任务规划与代码执行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[12-14]。iSEE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提供实验对象交互探索，ellmer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提供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中的模型调用基础设施，llm2geneset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结合模型生成基因集与过度表示分析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[15-17]。CASSIA、scExtract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等工作进一步扩展了单细胞标注与分析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[18,19]。这些方向与“解释已有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对象并留下可检查记录”相关，但评价对象不同，不能把任务自动化、标注准确率和统计事实传递混作一个指标。</w:t>
      </w:r>
    </w:p>
    <w:p>
      <w:r>
        <w:rPr>
          <w:b w:val="0"/>
          <w:i w:val="0"/>
        </w:rPr>
        <w:t>已有对象的解释入口还面临一个具体信息问题：完整矩阵或结果表不宜直接送入模型，而仅提供顶部行又不足以确定全表计数；即使完整提供一个子表，逐行精确计算也属于可由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直接完成的工作。一般性生成文本的流畅度不能保证事实正确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[20]。因此，需要明确区分上游统计计算、摘要生成、语言组织和验证状态，而不是用一个总体“可信度”代替它们。</w:t>
      </w:r>
    </w:p>
    <w:p>
      <w:r>
        <w:rPr>
          <w:b w:val="0"/>
          <w:i w:val="0"/>
        </w:rPr>
        <w:t>我们提出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BioExplainR，将统计计算保留在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侧，把可选模型限定为基于有界摘要组织语言，并提供显式声明验证、图形交叉核对与修复不变量检查。贡献是三个相互连接的工作流设计：带来源状态的统一对象摘要；事实、引用、图形及修复的分项检查记录；连接代码执行、解释与报告的本地工作台。我们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个可复现案例、480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个目标事实评价三种输入条件，并以两个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OpenAI-compatible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模型运行相同规模的共同任务；另加入外部评分者案例评分和功能感知评分，报告协议边界、受控挑战结果、语义负例与未覆盖边界。工具的设计比较见表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1；相近工具仍不作共同任务性能排名。</w:t>
      </w:r>
    </w:p>
    <w:p>
      <w:pPr>
        <w:pStyle w:val="Heading1"/>
      </w:pP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方法</w:t>
      </w:r>
    </w:p>
    <w:p>
      <w:pPr>
        <w:pStyle w:val="Heading2"/>
      </w:pPr>
      <w:r>
        <w:rPr>
          <w:b w:val="0"/>
          <w:i w:val="0"/>
        </w:rPr>
        <w:t>2.1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研究设计与评价终点</w:t>
      </w:r>
    </w:p>
    <w:p>
      <w:r>
        <w:rPr>
          <w:b w:val="0"/>
          <w:i w:val="0"/>
        </w:rPr>
        <w:t>本研究是软件方法学研究，包含四个相互区分的评价层级：系统功能与对象接入验证、固定案例的结构化事实传递消融、未参与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airway/PBMC3k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开发的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数值事实核对，以及外部评分者的描述性功能感知评价。另以浏览器自动化检查工作流连通性和页面状态。软件测试、受控机制挑战、独立数据核对和外部评分不共享同一性能终点，也不互相替代。</w:t>
      </w:r>
    </w:p>
    <w:p>
      <w:r>
        <w:rPr>
          <w:b w:val="0"/>
          <w:i w:val="0"/>
        </w:rPr>
        <w:t>预先定义的主要软件终点是：适配器从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源对象提取的事实与独立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计算值一致；模型响应中的目标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fact-path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标量值按固定容差匹配；声明、图形映射和修复不变量返回预设状态。辅助终点包括结构化响应覆盖率、已回答准确率、响应时间、协议解析状态和功能感知评分。所有模型实验使用固定案例、提示和保存的参考事实；结果按重复调用报告描述性统计，不进行超出实验设计的泛化推断。</w:t>
      </w:r>
    </w:p>
    <w:p>
      <w:pPr>
        <w:pStyle w:val="Heading2"/>
      </w:pPr>
      <w:r>
        <w:rPr>
          <w:b w:val="0"/>
          <w:i w:val="0"/>
        </w:rPr>
        <w:t>2.2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系统架构</w:t>
      </w:r>
    </w:p>
    <w:p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0.3.1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接收已有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分析对象、用户提供的实验背景以及可选源结果。专用适配器将输入转化为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bio_context</w:t>
      </w:r>
      <w:r>
        <w:rPr>
          <w:b w:val="0"/>
          <w:i w:val="0"/>
        </w:rPr>
        <w:t>，记录分析类型、来源类与包、来源状态、确定性事实、有界顶部行、图形映射、参数和不确定性；有界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载荷分别供本地解释或可选模型使用。解释、检查结果和来源共同进入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HTML、Markdown/Quarto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报告与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Shiny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工作台（图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1）。</w:t>
      </w:r>
    </w:p>
    <w:p>
      <w:r>
        <w:rPr>
          <w:b w:val="0"/>
          <w:i w:val="0"/>
        </w:rPr>
        <w:t>支持的接口包括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DESeqResults</w:t>
      </w:r>
      <w:r>
        <w:rPr>
          <w:b w:val="0"/>
          <w:i w:val="0"/>
        </w:rPr>
        <w:t>、limma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MArrayLM</w:t>
      </w:r>
      <w:r>
        <w:rPr>
          <w:b w:val="0"/>
          <w:i w:val="0"/>
        </w:rPr>
        <w:t>、edgeR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检验对象与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TopTags</w:t>
      </w:r>
      <w:r>
        <w:rPr>
          <w:b w:val="0"/>
          <w:i w:val="0"/>
        </w:rPr>
        <w:t>、ORA/GSEA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风格对象、clusterProfiler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风格富集对象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[21]、Seurat、SingleCellExperiment、SummarizedExperiment、</w:t>
      </w:r>
      <w:r>
        <w:rPr>
          <w:rFonts w:ascii="DejaVu Sans Mono" w:hAnsi="DejaVu Sans Mono"/>
          <w:b w:val="0"/>
          <w:i w:val="0"/>
          <w:sz w:val="18"/>
        </w:rPr>
        <w:t>prcomp</w:t>
      </w:r>
      <w:r>
        <w:rPr>
          <w:b w:val="0"/>
          <w:i w:val="0"/>
        </w:rPr>
        <w:t>、ggplot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与矩阵。多系数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拟合必须指定系数；普通表格的列名只提示可能来源，不能确认生成软件。完整输入在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侧用于适用的统计事实计算，原始矩阵不随模型载荷发送。大矩阵的部分诊断采用有界取样或稀疏存储摘要，并标记检查范围，不能将其表述为全矩阵审查。实际测试版本与接口支持范围分别记录，避免把“可适配”写成“所有版本均已验证”。</w:t>
      </w:r>
    </w:p>
    <w:p>
      <w:pPr>
        <w:pStyle w:val="Heading2"/>
      </w:pPr>
      <w:r>
        <w:rPr>
          <w:b w:val="0"/>
          <w:i w:val="0"/>
        </w:rPr>
        <w:t>2.3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确定性事实与分层解释</w:t>
      </w:r>
    </w:p>
    <w:p>
      <w:r>
        <w:rPr>
          <w:b w:val="0"/>
          <w:i w:val="0"/>
        </w:rPr>
        <w:t>差异表达适配器从完整提供的结果计算特征数、校正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值缺失数、筛选数量和方向。对于校正阈值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与效应阈值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τ，显著集合为同时满足非缺失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  <w:vertAlign w:val="subscript"/>
        </w:rPr>
        <w:t>adj</w:t>
      </w:r>
      <w:r>
        <w:rPr>
          <w:b w:val="0"/>
          <w:i w:val="0"/>
        </w:rPr>
        <w:t>、P</w:t>
      </w:r>
      <w:r>
        <w:rPr>
          <w:b w:val="0"/>
          <w:i w:val="0"/>
          <w:vertAlign w:val="subscript"/>
        </w:rPr>
        <w:t>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的特征，上调与下调由集合内效应值的正负确定。P</w:t>
      </w:r>
      <w:r>
        <w:rPr>
          <w:b w:val="0"/>
          <w:i w:val="0"/>
          <w:vertAlign w:val="subscript"/>
        </w:rPr>
        <w:t>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表示输入的校正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值；其计算方法沿用来源，或在用户明确指定时另行计算。缺少校正值时记录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raw-only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状态，不以原始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值冒充校正值。BH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校正遵循既有方法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[22]；DESeq2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的独立过滤可能产生缺失校正值，不能据此断言没有原始检验或没有变化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[1,23]。</w:t>
      </w:r>
    </w:p>
    <w:p>
      <w:r>
        <w:rPr>
          <w:b w:val="0"/>
          <w:i w:val="0"/>
        </w:rPr>
        <w:t>输出解释包含数据事实、统计含义、生物学候选解释、不确定性和不能推出的结论。本地模板可离线运行；模型接收已经计算的事实，不承担全表重算。PCA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方差比例保留计算精度，显示文本可另行舍入；顶部预览采用有限有效数字。该模块保证摘要计算规则可检查，不保证上游设计、用户背景或模型自由文本正确。</w:t>
      </w:r>
    </w:p>
    <w:p>
      <w:pPr>
        <w:pStyle w:val="Heading2"/>
      </w:pPr>
      <w:r>
        <w:rPr>
          <w:b w:val="0"/>
          <w:i w:val="0"/>
        </w:rPr>
        <w:t>2.4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证据与声明验证</w:t>
      </w:r>
    </w:p>
    <w:p>
      <w:r>
        <w:rPr>
          <w:b w:val="0"/>
          <w:i w:val="0"/>
        </w:rPr>
        <w:t>用户显式开启检索后，系统可访问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PMC、QuickGO、Reactome、KEGG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UniProt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[24-28]，将来源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ID、标题、URL、访问时间和提供方式保存为证据对象。输出提供来源追踪入口；检索命中、数据库注释和论断支持是不同概念，系统目前不自动全文审读或评价证据支持强度。</w:t>
      </w:r>
    </w:p>
    <w:p>
      <w:r>
        <w:rPr>
          <w:b w:val="0"/>
          <w:i w:val="0"/>
        </w:rPr>
        <w:t>模型按统一要求返回分节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及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claims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数组。验证器接收解释、上下文和给定证据集合，核对事实路径是否存在、值是否为可比较标量、数值或方向是否一致，以及引用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是否属于该集合。非零参考值使用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10⁻⁶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的相对容差，参考为零时使用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10⁻⁶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的绝对容差；字符串精确匹配。顶部表路径核对的是保存的有界预览值。结果为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pass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fail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partial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或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unverified</w:t>
      </w:r>
      <w:r>
        <w:rPr>
          <w:b w:val="0"/>
          <w:i w:val="0"/>
        </w:rPr>
        <w:t>；没有显式声明的文字不记为通过。引用闭集检查不证明文章支持论断，声明通过也不验证未声明的措辞、因果解释或整段文本。</w:t>
      </w:r>
    </w:p>
    <w:p>
      <w:pPr>
        <w:pStyle w:val="Heading2"/>
      </w:pPr>
      <w:r>
        <w:rPr>
          <w:b w:val="0"/>
          <w:i w:val="0"/>
        </w:rPr>
        <w:t>2.5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图形核对、执行记录与修复不变量</w:t>
      </w:r>
    </w:p>
    <w:p>
      <w:r>
        <w:rPr>
          <w:b w:val="0"/>
          <w:i w:val="0"/>
        </w:rPr>
        <w:t>图形核对接收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ggplot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与独立提供的源对象，输出所检查映射的一致性状态。火山图按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或可配对行检查效应方向与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值来源；BioExplainR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图核对坐标、解释方差和轴标签，提供元数据时可核对分组；富集气泡图按条目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检查标签、比例、Count、颜色与大小。允许预期子集需显式指定；复杂多点图层或不能配对的情况返回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not_checkable</w:t>
      </w:r>
      <w:r>
        <w:rPr>
          <w:b w:val="0"/>
          <w:i w:val="0"/>
        </w:rPr>
        <w:t>。核对针对标度和坐标变换前的映射值，不覆盖全部像素、裁剪、人工注释或视觉误导。</w:t>
      </w:r>
    </w:p>
    <w:p>
      <w:r>
        <w:rPr>
          <w:b w:val="0"/>
          <w:i w:val="0"/>
        </w:rPr>
        <w:t>执行记录保存运行状态、警告、错误现场调用栈、对象摘要及包调用表达式。用户显式提交的修复代码在独立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进程运行，依据事先声明的类型、行数、因子水平等不变量检查输出；未设置不变量时，运行成功仅标为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runtime_only</w:t>
      </w:r>
      <w:r>
        <w:rPr>
          <w:b w:val="0"/>
          <w:i w:val="0"/>
        </w:rPr>
        <w:t>。不变量检查能拒绝违反指定条件的修复，不能证明所有语义保持；独立进程隔离会话状态，但不是操作系统安全沙箱。</w:t>
      </w:r>
    </w:p>
    <w:p>
      <w:pPr>
        <w:pStyle w:val="Heading2"/>
      </w:pPr>
      <w:r>
        <w:rPr>
          <w:b w:val="0"/>
          <w:i w:val="0"/>
        </w:rPr>
        <w:t>2.6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Shiny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工作台</w:t>
      </w:r>
    </w:p>
    <w:p>
      <w:r>
        <w:rPr>
          <w:b w:val="0"/>
          <w:i w:val="0"/>
        </w:rPr>
        <w:t>工作台基于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Shiny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[29]，接收模型配置、用户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代码及工作区对象，提供运行环境、代码记录、对象解释、PCA/UMAP/富集/热图和报告下载。生成图形保存回会话工作区，可由用户选择源对象核对。每个浏览器连接拥有独立工作区副本、页面配置和运行记录。该设计可检查工作流连通性与浏览器连接间的页面状态隔离，不构成共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进程文件、网络或包权限的多租户隔离。截图与自动化验证见补充图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和补充材料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S7。</w:t>
      </w:r>
    </w:p>
    <w:p>
      <w:r>
        <w:rPr>
          <w:b w:val="0"/>
          <w:i w:val="0"/>
        </w:rPr>
        <w:t>默认解释语言和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Shiny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界面为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English；用户可通过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language = "zh"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或界面选择切换为简体中文。primary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researchers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可按需使用中文术语入口；语言选择只改变用户可见措辞，不改变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计算事实、检查状态或评分规则。这是界面设计选择，不是语言能力或跨语言性能声明。</w:t>
      </w:r>
    </w:p>
    <w:p>
      <w:pPr>
        <w:pStyle w:val="Heading2"/>
      </w:pPr>
      <w:r>
        <w:rPr>
          <w:b w:val="0"/>
          <w:i w:val="0"/>
        </w:rPr>
        <w:t>2.7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数据集、预处理与统计流程</w:t>
      </w:r>
    </w:p>
    <w:p>
      <w:r>
        <w:rPr>
          <w:b/>
          <w:i w:val="0"/>
        </w:rPr>
        <w:t>airway。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1.22.0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GSE52778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计数对象，来源为人气道平滑肌地塞米松研究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[30]。以细胞系作为配对项，使用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cell + 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设计、</w:t>
      </w:r>
      <w:r>
        <w:rPr>
          <w:rFonts w:ascii="DejaVu Sans Mono" w:hAnsi="DejaVu Sans Mono"/>
          <w:b w:val="0"/>
          <w:i w:val="0"/>
          <w:sz w:val="18"/>
        </w:rPr>
        <w:t>untrt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作为参考水平，比较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untrt</w:t>
      </w:r>
      <w:r>
        <w:rPr>
          <w:b w:val="0"/>
          <w:i w:val="0"/>
        </w:rPr>
        <w:t>。差异表达结果使用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1.42.0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results()</w:t>
      </w:r>
      <w:r>
        <w:rPr>
          <w:b w:val="0"/>
          <w:i w:val="0"/>
        </w:rPr>
        <w:t>；预设筛选阈值为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  <w:vertAlign w:val="subscript"/>
        </w:rPr>
        <w:t>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0.05，另以未经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LFC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shrinkage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作为效应大小筛选条件。该效应条件不是以效应超过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为原假设的检验。用于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的样本和供体结构沿用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对象的配对设计。</w:t>
      </w:r>
    </w:p>
    <w:p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vst(blind = FALSE)</w:t>
      </w:r>
      <w:r>
        <w:rPr>
          <w:b w:val="0"/>
          <w:i w:val="0"/>
        </w:rPr>
        <w:t>，从非恒定特征中选择方差最高的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个特征，中心化但不标准化。另用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3.58.1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voom/经验贝叶斯流程和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4.0.16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的准似然流程，在相同过滤和设计条件下生成兼容性对照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[2,3,31]。Reactome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从保存的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Ensembl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映射快照中保留人类且出现在结果中的基因；以有注释基因为背景，对满足预设背景大小范围的通路进行超几何检验，并对全部检验进行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校正。该分析用于验证对象接入和事实提取，不作为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clusterProfiler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上游流程的性能测试。</w:t>
      </w:r>
    </w:p>
    <w:p>
      <w:r>
        <w:rPr>
          <w:b/>
          <w:i w:val="0"/>
        </w:rPr>
        <w:t>PBMC3k。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公开过滤矩阵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[32]，从对象元数据计算每细胞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数、检测基因数和线粒体比例，并分别构建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SingleCellExperiment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1.24.0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SeuratObject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5.0.1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对象。可视化表达按每细胞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缩放后取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log1p，选取最高方差的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个特征作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PCA，再由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uwot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0.1.16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[33]；随机种子为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20261004，单线程运行，保留公开过滤矩阵中的全部细胞。该流程不实施完整细胞类型注释，不把细胞作为独立生物学重复，也不进行供体间推断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[34]。数据地址、SHA-256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和软件版本见补充材料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S1。</w:t>
      </w:r>
    </w:p>
    <w:p>
      <w:r>
        <w:rPr>
          <w:b/>
          <w:i w:val="0"/>
        </w:rPr>
        <w:t>ALL</w:t>
      </w:r>
      <w:r>
        <w:rPr>
          <w:b/>
          <w:i w:val="0"/>
        </w:rPr>
        <w:t xml:space="preserve"> </w:t>
      </w:r>
      <w:r>
        <w:rPr>
          <w:b/>
          <w:i w:val="0"/>
        </w:rPr>
        <w:t>与</w:t>
      </w:r>
      <w:r>
        <w:rPr>
          <w:b/>
          <w:i w:val="0"/>
        </w:rPr>
        <w:t xml:space="preserve"> </w:t>
      </w:r>
      <w:r>
        <w:rPr>
          <w:b/>
          <w:i w:val="0"/>
        </w:rPr>
        <w:t>bladderbatch。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从固定的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数据包归档读取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Biobase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ExpressionSet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对象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[37,38]。ALL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仅检查表达矩阵维度、表型列和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分组摘要；bladderbatch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另外检查癌症分组和批次字段。两者不在本研究中重新拟合差异表达模型、不进行批次校正，也不将分组摘要解释为生物学效应；完整任务边界和归档哈希见补充材料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S1。</w:t>
      </w:r>
    </w:p>
    <w:p>
      <w:pPr>
        <w:pStyle w:val="Heading2"/>
      </w:pPr>
      <w:r>
        <w:rPr>
          <w:b w:val="0"/>
          <w:i w:val="0"/>
        </w:rPr>
        <w:t>2.8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消融设计、评分与重复结构</w:t>
      </w:r>
    </w:p>
    <w:p>
      <w:r>
        <w:rPr>
          <w:b w:val="0"/>
          <w:i w:val="0"/>
        </w:rPr>
        <w:t>本轮规模主实验使用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个可复现案例和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个唯一目标事实，三种输入方法各重复三轮，共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次请求和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4,320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条逐事实评分。默认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工作流在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中分析完整对象，向模型传递完整确定性事实和最多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top-feature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预览；</w:t>
      </w:r>
      <w:r>
        <w:rPr>
          <w:rFonts w:ascii="DejaVu Sans Mono" w:hAnsi="DejaVu Sans Mono"/>
          <w:b w:val="0"/>
          <w:i w:val="0"/>
          <w:sz w:val="18"/>
        </w:rPr>
        <w:t>direct_bounded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仅作为信息受限基线，不代表默认模型输入。</w:t>
      </w:r>
    </w:p>
    <w:p>
      <w:r>
        <w:rPr>
          <w:b w:val="0"/>
          <w:i w:val="0"/>
        </w:rPr>
        <w:t>主实验固定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OpenAI-compatible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服务，请求模型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deepseek-flash</w:t>
      </w:r>
      <w:r>
        <w:rPr>
          <w:b w:val="0"/>
          <w:i w:val="0"/>
        </w:rPr>
        <w:t>，关闭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thinking，temperature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0，启用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mode，输出上限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tokens，timeout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s，瞬时错误最多重试一次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[35]。模型别名没有不可变快照编号，因此该参数设置不保证跨时间完全确定。规模实验包含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个可复现案例和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个唯一目标事实：差异表达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案例、富集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案例、PCA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案例、SingleCellExperiment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案例、细胞组成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generic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表格摘要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案例；每案例四个标量目标。案例由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程序生成，目标事实由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adapter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从完整输入计算；它们用于验证对象接入、摘要传递和协议行为，不代表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个独立生物学样本。</w:t>
      </w:r>
    </w:p>
    <w:p>
      <w:r>
        <w:rPr>
          <w:b w:val="0"/>
          <w:i w:val="0"/>
        </w:rPr>
        <w:t>比较三种输入：bounded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output（</w:t>
      </w:r>
      <w:r>
        <w:rPr>
          <w:rFonts w:ascii="DejaVu Sans Mono" w:hAnsi="DejaVu Sans Mono"/>
          <w:b w:val="0"/>
          <w:i w:val="0"/>
          <w:sz w:val="18"/>
        </w:rPr>
        <w:t>direct_bounded</w:t>
      </w:r>
      <w:r>
        <w:rPr>
          <w:b w:val="0"/>
          <w:i w:val="0"/>
        </w:rPr>
        <w:t>）只提供维度、有限行或对象结构，不提供完整目标事实；R-computed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summary（</w:t>
      </w:r>
      <w:r>
        <w:rPr>
          <w:rFonts w:ascii="DejaVu Sans Mono" w:hAnsi="DejaVu Sans Mono"/>
          <w:b w:val="0"/>
          <w:i w:val="0"/>
          <w:sz w:val="18"/>
        </w:rPr>
        <w:t>facts_only</w:t>
      </w:r>
      <w:r>
        <w:rPr>
          <w:b w:val="0"/>
          <w:i w:val="0"/>
        </w:rPr>
        <w:t>）提供从完整输入计算的事实、来源和最多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top-feature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预览；R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evidence（</w:t>
      </w:r>
      <w:r>
        <w:rPr>
          <w:rFonts w:ascii="DejaVu Sans Mono" w:hAnsi="DejaVu Sans Mono"/>
          <w:b w:val="0"/>
          <w:i w:val="0"/>
          <w:sz w:val="18"/>
        </w:rPr>
        <w:t>facts_evidence</w:t>
      </w:r>
      <w:r>
        <w:rPr>
          <w:b w:val="0"/>
          <w:i w:val="0"/>
        </w:rPr>
        <w:t>）额外提供保存的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记录。三者使用相同输出要求和请求设置，每案例每方法调用三次，共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次请求；480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个目标每方法重复三轮，形成每方法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1,440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条、总计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4,320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条逐事实评分。原始基线允许无法判断时返回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null；这不是对代码执行代理的测试。完整逐项数据见表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8。</w:t>
      </w:r>
    </w:p>
    <w:p>
      <w:r>
        <w:rPr>
          <w:b w:val="0"/>
          <w:i w:val="0"/>
        </w:rPr>
        <w:t>参考值由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从每个完整源对象独立计算，不使用模型响应。目标事实匹配率定义为匹配数/目标数，覆盖率为非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标量数/目标数，已回答准确率为匹配数/已回答数；未回答记为未完成，不作缺失值填补。每种输入方法对相同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个案例调用三次，共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次请求、4,320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条逐事实评分；重复共享输入和目标，因此只报告描述性匹配率、轮次均值和样本标准差，不将重复评分视为独立数据集或实施独立二项推断。</w:t>
      </w:r>
    </w:p>
    <w:p>
      <w:r>
        <w:rPr>
          <w:b w:val="0"/>
          <w:i w:val="0"/>
        </w:rPr>
        <w:t>机制挑战在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个事实加证据响应的上下文中分别注入错误数字、未知路径、向量值、未知引用及仅路径无值声明，共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项；移除验证器时记录为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unchecked</w:t>
      </w:r>
      <w:r>
        <w:rPr>
          <w:b w:val="0"/>
          <w:i w:val="0"/>
        </w:rPr>
        <w:t>。图形挑战预设三张正确图和六种注入错误；修复挑战预设两段可运行代码，分别保持或反转参考水平。挑战指标只针对预设违例，不估计自然错误率或一般修复成功率。主实验提示、配置、评分规则和原始响应均在补充材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S3-S4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中归档；主实验在一次开发迭代后完成，因此预先承认开发集乐观偏倚。研究报告参照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TRIPOD-LLM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的透明报告原则，但本研究不是临床预测研究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[36]。</w:t>
      </w:r>
    </w:p>
    <w:p>
      <w:pPr>
        <w:pStyle w:val="Heading2"/>
      </w:pPr>
      <w:r>
        <w:rPr>
          <w:b w:val="0"/>
          <w:i w:val="0"/>
        </w:rPr>
        <w:t>2.9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双模型与代码代理共同任务</w:t>
      </w:r>
    </w:p>
    <w:p>
      <w:r>
        <w:rPr>
          <w:b w:val="0"/>
          <w:i w:val="0"/>
        </w:rPr>
        <w:t>为进行协议适配对照，使用与规模主实验相同的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个案例、480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个目标事实和评分规则。StepFun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step-5-preview</w:t>
      </w:r>
      <w:r>
        <w:rPr>
          <w:b w:val="0"/>
          <w:i w:val="0"/>
        </w:rPr>
        <w:t>、DeepSeek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deepseek-flash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各运行一次。模型请求使用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OpenAI-compatible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协议、temperature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0、最多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个输出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token；最终运行对两种模型均关闭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response_format = json_object</w:t>
      </w:r>
      <w:r>
        <w:rPr>
          <w:b w:val="0"/>
          <w:i w:val="0"/>
        </w:rPr>
        <w:t>，其中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StepFun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的关闭设置用于避免此前探针中的网关格式不稳定。所有响应均要求返回包含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和标量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value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claims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数组；提示提供完整精度的数值，并要求非整数小数逐字符复制。结果按相同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fact-path、数值容差和覆盖率规则评分，保存逐案例脱敏响应与逐事实评分。该设计只评价结构化事实传递和协议适配，不评价自由文本、生物学推理、长期稳定性或模型排名。</w:t>
      </w:r>
    </w:p>
    <w:p>
      <w:r>
        <w:rPr>
          <w:b w:val="0"/>
          <w:i w:val="0"/>
        </w:rPr>
        <w:t>两种模型接收完全相同的输入、prompt、token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预算和评分规则；每个模型均对同一批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个案例逐案例调用一次，最大输出为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tokens。</w:t>
      </w:r>
      <w:r>
        <w:rPr>
          <w:b/>
          <w:i w:val="0"/>
        </w:rPr>
        <w:t>Both</w:t>
      </w:r>
      <w:r>
        <w:rPr>
          <w:b/>
          <w:i w:val="0"/>
        </w:rPr>
        <w:t xml:space="preserve"> </w:t>
      </w:r>
      <w:r>
        <w:rPr>
          <w:b/>
          <w:i w:val="0"/>
        </w:rPr>
        <w:t>models</w:t>
      </w:r>
      <w:r>
        <w:rPr>
          <w:b/>
          <w:i w:val="0"/>
        </w:rPr>
        <w:t xml:space="preserve"> </w:t>
      </w:r>
      <w:r>
        <w:rPr>
          <w:b/>
          <w:i w:val="0"/>
        </w:rPr>
        <w:t>received</w:t>
      </w:r>
      <w:r>
        <w:rPr>
          <w:b/>
          <w:i w:val="0"/>
        </w:rPr>
        <w:t xml:space="preserve"> </w:t>
      </w:r>
      <w:r>
        <w:rPr>
          <w:b/>
          <w:i w:val="0"/>
        </w:rPr>
        <w:t>identical</w:t>
      </w:r>
      <w:r>
        <w:rPr>
          <w:b/>
          <w:i w:val="0"/>
        </w:rPr>
        <w:t xml:space="preserve"> </w:t>
      </w:r>
      <w:r>
        <w:rPr>
          <w:b/>
          <w:i w:val="0"/>
        </w:rPr>
        <w:t>inputs,</w:t>
      </w:r>
      <w:r>
        <w:rPr>
          <w:b/>
          <w:i w:val="0"/>
        </w:rPr>
        <w:t xml:space="preserve"> </w:t>
      </w:r>
      <w:r>
        <w:rPr>
          <w:b/>
          <w:i w:val="0"/>
        </w:rPr>
        <w:t>prompts,</w:t>
      </w:r>
      <w:r>
        <w:rPr>
          <w:b/>
          <w:i w:val="0"/>
        </w:rPr>
        <w:t xml:space="preserve"> </w:t>
      </w:r>
      <w:r>
        <w:rPr>
          <w:b/>
          <w:i w:val="0"/>
        </w:rPr>
        <w:t>token</w:t>
      </w:r>
      <w:r>
        <w:rPr>
          <w:b/>
          <w:i w:val="0"/>
        </w:rPr>
        <w:t xml:space="preserve"> </w:t>
      </w:r>
      <w:r>
        <w:rPr>
          <w:b/>
          <w:i w:val="0"/>
        </w:rPr>
        <w:t>budgets,</w:t>
      </w:r>
      <w:r>
        <w:rPr>
          <w:b/>
          <w:i w:val="0"/>
        </w:rPr>
        <w:t xml:space="preserve"> </w:t>
      </w:r>
      <w:r>
        <w:rPr>
          <w:b/>
          <w:i w:val="0"/>
        </w:rPr>
        <w:t>and</w:t>
      </w:r>
      <w:r>
        <w:rPr>
          <w:b/>
          <w:i w:val="0"/>
        </w:rPr>
        <w:t xml:space="preserve"> </w:t>
      </w:r>
      <w:r>
        <w:rPr>
          <w:b/>
          <w:i w:val="0"/>
        </w:rPr>
        <w:t>scoring</w:t>
      </w:r>
      <w:r>
        <w:rPr>
          <w:b/>
          <w:i w:val="0"/>
        </w:rPr>
        <w:t xml:space="preserve"> </w:t>
      </w:r>
      <w:r>
        <w:rPr>
          <w:b/>
          <w:i w:val="0"/>
        </w:rPr>
        <w:t>rules;</w:t>
      </w:r>
      <w:r>
        <w:rPr>
          <w:b/>
          <w:i w:val="0"/>
        </w:rPr>
        <w:t xml:space="preserve"> </w:t>
      </w:r>
      <w:r>
        <w:rPr>
          <w:b/>
          <w:i w:val="0"/>
        </w:rPr>
        <w:t>each</w:t>
      </w:r>
      <w:r>
        <w:rPr>
          <w:b/>
          <w:i w:val="0"/>
        </w:rPr>
        <w:t xml:space="preserve"> </w:t>
      </w:r>
      <w:r>
        <w:rPr>
          <w:b/>
          <w:i w:val="0"/>
        </w:rPr>
        <w:t>model</w:t>
      </w:r>
      <w:r>
        <w:rPr>
          <w:b/>
          <w:i w:val="0"/>
        </w:rPr>
        <w:t xml:space="preserve"> </w:t>
      </w:r>
      <w:r>
        <w:rPr>
          <w:b/>
          <w:i w:val="0"/>
        </w:rPr>
        <w:t>was</w:t>
      </w:r>
      <w:r>
        <w:rPr>
          <w:b/>
          <w:i w:val="0"/>
        </w:rPr>
        <w:t xml:space="preserve"> </w:t>
      </w:r>
      <w:r>
        <w:rPr>
          <w:b/>
          <w:i w:val="0"/>
        </w:rPr>
        <w:t>called</w:t>
      </w:r>
      <w:r>
        <w:rPr>
          <w:b/>
          <w:i w:val="0"/>
        </w:rPr>
        <w:t xml:space="preserve"> </w:t>
      </w:r>
      <w:r>
        <w:rPr>
          <w:b/>
          <w:i w:val="0"/>
        </w:rPr>
        <w:t>once</w:t>
      </w:r>
      <w:r>
        <w:rPr>
          <w:b/>
          <w:i w:val="0"/>
        </w:rPr>
        <w:t xml:space="preserve"> </w:t>
      </w:r>
      <w:r>
        <w:rPr>
          <w:b/>
          <w:i w:val="0"/>
        </w:rPr>
        <w:t>per</w:t>
      </w:r>
      <w:r>
        <w:rPr>
          <w:b/>
          <w:i w:val="0"/>
        </w:rPr>
        <w:t xml:space="preserve"> </w:t>
      </w:r>
      <w:r>
        <w:rPr>
          <w:b/>
          <w:i w:val="0"/>
        </w:rPr>
        <w:t>case.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因此两者共享同一批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个案例、480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个目标事实、提示文本、数值容差、fact-path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规则、回答覆盖率定义和评分程序。旧的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案例/25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事实记录仅作为历史开发基线，不作为本研究当前共同任务结果。</w:t>
      </w:r>
    </w:p>
    <w:p>
      <w:pPr>
        <w:pStyle w:val="Heading2"/>
      </w:pPr>
      <w:r>
        <w:rPr>
          <w:b w:val="0"/>
          <w:i w:val="0"/>
        </w:rPr>
        <w:t>2.10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相近工具入口与独立数据基准</w:t>
      </w:r>
    </w:p>
    <w:p>
      <w:r>
        <w:rPr>
          <w:b w:val="0"/>
          <w:i w:val="0"/>
        </w:rPr>
        <w:t>为进行设计层面的入口核对，在独立临时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库中安装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2.14.0、GPTCelltype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1.0.1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0.5.0；另将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btw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列为候选工具，但不把未完成的安装尝试作为性能比较。iSEE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测试预先指定真实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SCE、已有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mito_qc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变量，并由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Playwright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检查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属性和图像加载。GPTCelltype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测试从真实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派生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cluster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表，检查提示构建；不提供在线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key。ellmer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通过本地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OpenAI-compatible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replay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服务重放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个保存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prompt，比较客户端响应文本。上述设计评价入口兼容性和传输解析，不评价细胞类型准确率、模型质量或工具优劣。</w:t>
      </w:r>
    </w:p>
    <w:p>
      <w:r>
        <w:rPr>
          <w:b w:val="0"/>
          <w:i w:val="0"/>
        </w:rPr>
        <w:t>为提供未参与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airway/PBMC3k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开发的数值基准，使用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1.30.0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数据归档，按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1.42.0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type + condition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设计比较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treated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untreated。预设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  <w:vertAlign w:val="subscript"/>
        </w:rPr>
        <w:t>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阈值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0.01、0.05、0.10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阈值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0、1，逐项比较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DESeqResults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提取的特征数、显著数、上下调数和缺失校正值与直接源表计算值，共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个阈值组合、30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个事实。数据归档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SHA-256、计算脚本和逐项评分见补充表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S2-S3。</w:t>
      </w:r>
    </w:p>
    <w:p>
      <w:pPr>
        <w:pStyle w:val="Heading2"/>
      </w:pPr>
      <w:r>
        <w:rPr>
          <w:b w:val="0"/>
          <w:i w:val="0"/>
        </w:rPr>
        <w:t>2.11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外部评分者评价设计</w:t>
      </w:r>
    </w:p>
    <w:p>
      <w:r>
        <w:rPr>
          <w:b w:val="0"/>
          <w:i w:val="0"/>
        </w:rPr>
        <w:t>外部评分材料由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个去来源化解释案例组成，3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位评分者分别对每个案例的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个维度使用允许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0–2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的量表：数字准确性、统计概念、生物学支持、可追溯性、不确定性、可读性、错误定位和语义保持。评分者只看到匿名解释和统一任务说明，不看到原始数据集、模型、方法或作者身份；本项目只保留聚合结果，不保留原始评分文件和个人评语。完全一致率定义为每个案例-维度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位评分者分值相同的比例；相差不超过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分作为另一个描述性指标，不计算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kappa。</w:t>
      </w:r>
    </w:p>
    <w:p>
      <w:r>
        <w:rPr>
          <w:b w:val="0"/>
          <w:i w:val="0"/>
        </w:rPr>
        <w:t>另设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个评分参与者的功能感知表，每人对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项功能给出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0–100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，并选择“有用/没用”。该表没有任务正确率、完成时间、对照组、SUS、学习增益或信任校准终点，因此预先限定为描述性功能感知评价，而不是用户实验或教学效果研究。伦理、招募、同意和补偿信息在现有记录中不完整，结果只能在作者核实后用于投稿。</w:t>
      </w:r>
    </w:p>
    <w:p>
      <w:pPr>
        <w:pStyle w:val="Heading1"/>
      </w:pP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结果</w:t>
      </w:r>
    </w:p>
    <w:p>
      <w:pPr>
        <w:pStyle w:val="Heading2"/>
      </w:pPr>
      <w:r>
        <w:rPr>
          <w:b w:val="0"/>
          <w:i w:val="0"/>
        </w:rPr>
        <w:t>3.1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软件与浏览器验证</w:t>
      </w:r>
    </w:p>
    <w:p>
      <w:r>
        <w:rPr>
          <w:b w:val="0"/>
          <w:i w:val="0"/>
        </w:rPr>
        <w:t>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4.3.3、Ubuntu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24.04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用户态环境中，testthat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项检查有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项通过、1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项因真实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类可用而跳过，失败与错误均为零；</w:t>
      </w:r>
      <w:r>
        <w:rPr>
          <w:rFonts w:ascii="DejaVu Sans Mono" w:hAnsi="DejaVu Sans Mono"/>
          <w:b w:val="0"/>
          <w:i w:val="0"/>
          <w:sz w:val="18"/>
        </w:rPr>
        <w:t>R CMD check --no-manual --no-vignettes --no-build-vignettes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Status: OK</w:t>
      </w:r>
      <w:r>
        <w:rPr>
          <w:b w:val="0"/>
          <w:i w:val="0"/>
        </w:rPr>
        <w:t>。浏览器自动化覆盖代码执行、DESeq2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解释、HTML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下载、PCA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渲染与回写、源核对、DeepSeek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页面调用、SCE/Seurat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选择、双连接工作区隔离及桌面/移动布局；各项自动断言通过，未记录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JavaScript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异常或失败资源请求（补充材料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S7）。</w:t>
      </w:r>
    </w:p>
    <w:p>
      <w:pPr>
        <w:pStyle w:val="Heading2"/>
      </w:pPr>
      <w:r>
        <w:rPr>
          <w:b w:val="0"/>
          <w:i w:val="0"/>
        </w:rPr>
        <w:t>3.2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真实数据兼容性与对象摘要</w:t>
      </w:r>
    </w:p>
    <w:p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  <w:vertAlign w:val="subscript"/>
        </w:rPr>
        <w:t>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0.05、|log2FC|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时得到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999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个显著特征，其中上调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519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个、下调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个；5,204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个校正值缺失，17,165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个校正值非缺失，而原始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值均非缺失。只要求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  <w:vertAlign w:val="subscript"/>
        </w:rPr>
        <w:t>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且非零效应时得到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4,030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个。适配器提取的目标事实与源表一致。PCA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PC1、PC2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分别解释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47.8429%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23.3834%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的方差（图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3）。在相同过滤和设计条件下，limma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分别得到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1,301、1,292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个显著特征（表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3）。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  <w:vertAlign w:val="subscript"/>
        </w:rPr>
        <w:t>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0.05、|log2FC|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时得到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999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个显著特征，其中上调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519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个、下调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个；5,204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个校正值缺失，17,165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个校正值非缺失，而原始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值均非缺失。只要求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  <w:vertAlign w:val="subscript"/>
        </w:rPr>
        <w:t>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且非零效应时得到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4,030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个。适配器提取的目标事实与源表一致。PCA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PC1、PC2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分别解释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47.8429%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23.3834%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的方差（图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3）。在相同过滤和设计条件下，limma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分别得到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1,301、1,292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个显著特征（表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3）。</w:t>
      </w:r>
    </w:p>
    <w:p>
      <w:r>
        <w:rPr>
          <w:b w:val="0"/>
          <w:i w:val="0"/>
        </w:rPr>
        <w:t>Reactome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1,104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项检验中有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项通过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校正：Interleukin-4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Interleukin-13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signaling（R-HSA-6785807），重叠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个基因，P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1.9558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10⁻⁵，P</w:t>
      </w:r>
      <w:r>
        <w:rPr>
          <w:b w:val="0"/>
          <w:i w:val="0"/>
          <w:vertAlign w:val="subscript"/>
        </w:rPr>
        <w:t>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0.02159。PBMC3k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Seurat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对象均读取到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2,700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个细胞、32,738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个特征及单供体元数据，并可使用已有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绘图（图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4）。新增的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ExpressionSet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读取到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12,625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个样本，按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字段识别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个观察到的分组；bladderbatch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ExpressionSet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读取到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22,283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个样本，识别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个癌症分组和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个批次。五个数据集的检查均为对象接入、确定性摘要或独立事实核对，不是跨数据集的生物学复现率或模型泛化性能。</w:t>
      </w:r>
    </w:p>
    <w:p>
      <w:r>
        <w:rPr>
          <w:b w:val="0"/>
          <w:i w:val="0"/>
        </w:rPr>
        <w:t>在一条事实加证据响应中，五条显式数值声明和引用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均通过核对；同一响应的自由文本包含“log2FC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似乎经过收缩（shrinkage）”的表述，而保存的分析流程未执行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lfcShrink()</w:t>
      </w:r>
      <w:r>
        <w:rPr>
          <w:b w:val="0"/>
          <w:i w:val="0"/>
        </w:rPr>
        <w:t>。原始措辞及定位见补充材料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S6。</w:t>
      </w:r>
    </w:p>
    <w:p>
      <w:pPr>
        <w:pStyle w:val="Heading2"/>
      </w:pPr>
      <w:r>
        <w:rPr>
          <w:b w:val="0"/>
          <w:i w:val="0"/>
        </w:rPr>
        <w:t>3.3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事实摘要与证据消融</w:t>
      </w:r>
    </w:p>
    <w:p>
      <w:r>
        <w:rPr>
          <w:b w:val="0"/>
          <w:i w:val="0"/>
        </w:rPr>
        <w:t>1,080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次主实验请求均成功并返回可解析结构化结果。有界原始输出匹配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437/1,440（30.35%），覆盖率为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35.83%，已回答准确率为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84.69%；两种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事实方法均为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1,440/1,440（100.0%），覆盖率与已回答准确率均为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100.0%（表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2、图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2）。有界基线的低覆盖率主要反映输入未提供完整事实：差异表达四项全表计数仅回答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9/360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项，generic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结构摘要目标没有回答；回答的显著数值整体较准确。六类功能家族结果见表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4，480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个目标及方法别的逐项匹配次数见表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8。</w:t>
      </w:r>
    </w:p>
    <w:p>
      <w:pPr>
        <w:pStyle w:val="Heading2"/>
      </w:pPr>
      <w:r>
        <w:rPr>
          <w:b w:val="0"/>
          <w:i w:val="0"/>
        </w:rPr>
        <w:t>3.4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独立数据与相近工具入口</w:t>
      </w:r>
    </w:p>
    <w:p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的独立数据基准包含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14,599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个文库。6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个阈值组合的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个特征、显著、上下调和缺失校正值比较全部通过；在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  <w:vertAlign w:val="subscript"/>
        </w:rPr>
        <w:t>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时，218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个特征显著，其中上调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个、下调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个，5,800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个校正值缺失（补充图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S2-S3）。ALL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ExpressionSet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摘要分别通过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12,625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22,283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的对象/设计字段检查；完整版本、归档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和逐数据集状态见补充材料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及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research/results/public_datasets/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iSEE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的真实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SingleCellExperiment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入口初始化和浏览器图形检查通过；GPTCelltype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到提示构建通过；ellmer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的保存响应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replay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12/12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次保持文本一致。btw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未安装。因为这些任务不同于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的完整解释任务，结果只作为工作流兼容性记录，不构成性能排名或优劣结论。</w:t>
      </w:r>
    </w:p>
    <w:p>
      <w:r>
        <w:rPr>
          <w:b w:val="0"/>
          <w:i w:val="0"/>
        </w:rPr>
        <w:t>有界原始输出的三轮匹配数为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149/480、143/480、145/480；R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事实摘要和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事实加证据每轮均为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480/480。各轮共享相同案例和目标，因此轮间波动只作描述性报告，不作为独立数据集推断。</w:t>
      </w:r>
    </w:p>
    <w:p>
      <w:r>
        <w:rPr>
          <w:b w:val="0"/>
          <w:i w:val="0"/>
        </w:rPr>
        <w:t>事实加证据的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evidence_used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中引用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共出现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次，均来自给定集合；事实方法未提供证据时为零。原始基线给出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个输入未提供的引用字符串，均记为未知引用，其中包括非文献式标识（补充表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S1）。</w:t>
      </w:r>
    </w:p>
    <w:p>
      <w:r>
        <w:rPr>
          <w:b w:val="0"/>
          <w:i w:val="0"/>
        </w:rPr>
        <w:t>三种方法的中位响应时间分别为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2.230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s、2.680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s、2.905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s（表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2）；提示输入分别使用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190,305、445,731、498,651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tokens，输出分别为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167,277、203,194、223,801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tokens。按公开非缓存输入价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美元/百万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和输出价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0.60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美元/百万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作粗略估算，三种方法合计约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0.36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美元；该值不是账单，也未计入缓存折扣（补充表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S1）。</w:t>
      </w:r>
    </w:p>
    <w:p>
      <w:pPr>
        <w:pStyle w:val="Heading2"/>
      </w:pPr>
      <w:r>
        <w:rPr>
          <w:b w:val="0"/>
          <w:i w:val="0"/>
        </w:rPr>
        <w:t>3.5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双模型与代码代理共同任务</w:t>
      </w:r>
    </w:p>
    <w:p>
      <w:r>
        <w:rPr>
          <w:b w:val="0"/>
          <w:i w:val="0"/>
        </w:rPr>
        <w:t>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个案例、480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个目标事实的统一评分下，StepFun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step-5-preview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deepseek-flash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均回答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480/480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个目标且严格匹配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480/480（100%），覆盖率均为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100%（补充表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S4）。修正后的请求将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序列化为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位并要求小数作为完整字符串复制；定向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测试和完整规模测试均通过。StepFun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的最终请求关闭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response_format = json_object</w:t>
      </w:r>
      <w:r>
        <w:rPr>
          <w:b w:val="0"/>
          <w:i w:val="0"/>
        </w:rPr>
        <w:t>，以避免此前探针中的网关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格式不稳定。</w:t>
      </w:r>
    </w:p>
    <w:p>
      <w:pPr>
        <w:pStyle w:val="Heading2"/>
      </w:pPr>
      <w:r>
        <w:rPr>
          <w:b w:val="0"/>
          <w:i w:val="0"/>
        </w:rPr>
        <w:t>3.6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外部评分者与功能感知评价</w:t>
      </w:r>
    </w:p>
    <w:p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位外部评分者完成了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个匿名解释案例的全部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条评分；本批记录只出现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分，没有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分记录。总体均值为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1.751/2；八个维度中，可追溯性均值最低（1.267），可读性和不确定性均值最高（均为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1.956）；数字准确性为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1.756，统计概念为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1.689，生物学支持为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1.733，错误定位为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1.933，语义保持为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1.722。案例-维度评分的完全一致率为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93.75%，相差不超过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分的比例为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100%（表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7）。</w:t>
      </w:r>
    </w:p>
    <w:p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位评分参与者完成了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项功能的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条功能感知评分。总体平均分为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91.98/100，144/150（96.0%）标记为有用。五项功能平均分分别为：运行并记录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代码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91.57，解释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生物信息学对象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91.00，生成常用分析图形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93.03，证据与来源追踪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91.23，生成分析报告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93.07。证据与来源追踪的有用比例为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90.0%，其余功能为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93.3%-100.0%（表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7）。</w:t>
      </w:r>
    </w:p>
    <w:p>
      <w:pPr>
        <w:pStyle w:val="Heading2"/>
      </w:pPr>
      <w:r>
        <w:rPr>
          <w:b w:val="0"/>
          <w:i w:val="0"/>
        </w:rPr>
        <w:t>3.7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声明、图形与修复的机制挑战</w:t>
      </w:r>
    </w:p>
    <w:p>
      <w:r>
        <w:rPr>
          <w:b w:val="0"/>
          <w:i w:val="0"/>
        </w:rPr>
        <w:t>验证器将四类注入显式错误全部判为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fail</w:t>
      </w:r>
      <w:r>
        <w:rPr>
          <w:b w:val="0"/>
          <w:i w:val="0"/>
        </w:rPr>
        <w:t>（72/72），仅路径无值声明均为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partial</w:t>
      </w:r>
      <w:r>
        <w:rPr>
          <w:b w:val="0"/>
          <w:i w:val="0"/>
        </w:rPr>
        <w:t>（18/18），移除验证器时全部为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unchecked</w:t>
      </w:r>
      <w:r>
        <w:rPr>
          <w:b w:val="0"/>
          <w:i w:val="0"/>
        </w:rPr>
        <w:t>（表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5）。六种图形错误全部被判为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fail</w:t>
      </w:r>
      <w:r>
        <w:rPr>
          <w:b w:val="0"/>
          <w:i w:val="0"/>
        </w:rPr>
        <w:t>，三张正确图全部为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pass</w:t>
      </w:r>
      <w:r>
        <w:rPr>
          <w:b w:val="0"/>
          <w:i w:val="0"/>
        </w:rPr>
        <w:t>（表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6）。保持和反转参考水平的代码都可执行，但只有保持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untrt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参考水平的方案通过指定不变量。</w:t>
      </w:r>
    </w:p>
    <w:p>
      <w:pPr>
        <w:pStyle w:val="Heading1"/>
      </w:pP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相关工具的设计比较</w:t>
      </w:r>
    </w:p>
    <w:p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将对象接入、确定性事实、证据、声明验证、图形核对、错误诊断与语言入口合并为一张设计比较表。信息依据论文、官方文档或项目页，截至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2026-10-04；符号表示已描述的核心能力、部分或任务依赖能力，以及未见本文式内置机制。除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外，工具未在共同任务上实际运行；空缺不表示无法扩展，也不表示性能较差。</w:t>
      </w:r>
    </w:p>
    <w:p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的定位是已有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结果的解释与检查层。与细胞标注工具相比，其核心输出不是细胞标签；与通用代码执行代理相比，其自主分析范围更有限；与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相比，其探索组件更基础。可比较的贡献是把对象来源、R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事实、结构化声明、源图形与修复条件连接到同一报告，而不是一种新的差异表达算法。相对工具的实际收益需要定义共同任务后另行评价。</w:t>
      </w:r>
    </w:p>
    <w:p>
      <w:pPr>
        <w:pStyle w:val="Heading1"/>
      </w:pP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讨论</w:t>
      </w:r>
    </w:p>
    <w:p>
      <w:pPr>
        <w:pStyle w:val="Heading2"/>
      </w:pPr>
      <w:r>
        <w:rPr>
          <w:b w:val="0"/>
          <w:i w:val="0"/>
        </w:rPr>
        <w:t>5.1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系统边界</w:t>
      </w:r>
    </w:p>
    <w:p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能修正有缺陷的实验设计、批次混杂、生物学重复不足、缺乏支持的文献论断或所有形式的图形误读。它不能替代统计学家或领域专家，不能自动执行模型生成的代码，也不能把细胞层面的观测变成充分的生物学重复；用户提交的修复代码仍需显式运行并检查不变量。单细胞流程把细胞作为观测对象进行摘要，但不把细胞当作独立生物学重复。外部评分者和功能感知评分提供了描述性可接受性信息，但不能替代独立实验设计审查或真实用户对照研究。</w:t>
      </w:r>
    </w:p>
    <w:p>
      <w:pPr>
        <w:pStyle w:val="Heading2"/>
      </w:pPr>
      <w:r>
        <w:rPr>
          <w:b w:val="0"/>
          <w:i w:val="0"/>
        </w:rPr>
        <w:t>5.2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为什么确定性事实重要</w:t>
      </w:r>
    </w:p>
    <w:p>
      <w:r>
        <w:rPr>
          <w:b w:val="0"/>
          <w:i w:val="0"/>
        </w:rPr>
        <w:t>计数、方向和方差比例适合由程序精确计算。本轮结果与“先由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计算，再由模型组织”的设计一致：模型不必从有限预览猜测全表事实，也不承担长表逐行计算。本地模板使用同一摘要，事实来源不依赖在线模型成功。100%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matching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pipeline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design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target,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capability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ceiling: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target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computed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input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explicitly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summary.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因此该实验验证的是无损事实传递，不是模型独立推理、知识发现或摘要之外的自由文本正确性。</w:t>
      </w:r>
    </w:p>
    <w:p>
      <w:pPr>
        <w:pStyle w:val="Heading2"/>
      </w:pPr>
      <w:r>
        <w:rPr>
          <w:b w:val="0"/>
          <w:i w:val="0"/>
        </w:rPr>
        <w:t>5.3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检索证据不等于论断支持</w:t>
      </w:r>
    </w:p>
    <w:p>
      <w:r>
        <w:rPr>
          <w:b w:val="0"/>
          <w:i w:val="0"/>
        </w:rPr>
        <w:t>证据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可追踪，使未知引用与给定记录可区分；但命中题名、已知数据库注释和文章支持某一论断不是同一层次。当前实验将证据的增量作用限制在闭集引用来源检查，且没有采用案例特异的证据集合。后续需要评价物种、组织、比较和结论级匹配，并经独立专家审读支持关系，不能把引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的通过率替代证据质量。</w:t>
      </w:r>
    </w:p>
    <w:p>
      <w:pPr>
        <w:pStyle w:val="Heading2"/>
      </w:pPr>
      <w:r>
        <w:rPr>
          <w:b w:val="0"/>
          <w:i w:val="0"/>
        </w:rPr>
        <w:t>5.4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声明验证能够与不能够发现什么</w:t>
      </w:r>
    </w:p>
    <w:p>
      <w:r>
        <w:rPr>
          <w:b w:val="0"/>
          <w:i w:val="0"/>
        </w:rPr>
        <w:t>显式声明验证可捕捉指定事实值、方向、路径和引用集合违例；修复不变量可区分“可运行”和“满足指定条件”。但本文的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shrinkage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负例显示，正确数值可与错误的自由文本并存。未声明数字、隐含因果、措辞过度概括和跨句矛盾可能不被发现。图形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同样只表示检查到的映射与指定源对象一致，不能消除上游错误或所有视觉误导。因此，报告应分别展示事实、检查范围及未验证内容，而不是提供笼统的可靠性认证。</w:t>
      </w:r>
    </w:p>
    <w:p>
      <w:pPr>
        <w:pStyle w:val="Heading2"/>
      </w:pPr>
      <w:r>
        <w:rPr>
          <w:b w:val="0"/>
          <w:i w:val="0"/>
        </w:rPr>
        <w:t>5.5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局限与后续研究</w:t>
      </w:r>
    </w:p>
    <w:p>
      <w:r>
        <w:rPr>
          <w:b w:val="0"/>
          <w:i w:val="0"/>
        </w:rPr>
        <w:t>本研究是初步机制验证。扩展主实验和双模型共同任务均使用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个程序生成案例及相同的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个目标事实；案例数量和重复评分不等于独立生物学样本，也不构成对自然生物数据分布的泛化评估。</w:t>
      </w:r>
      <w:r>
        <w:rPr>
          <w:rFonts w:ascii="DejaVu Sans Mono" w:hAnsi="DejaVu Sans Mono"/>
          <w:b w:val="0"/>
          <w:i w:val="0"/>
          <w:sz w:val="18"/>
        </w:rPr>
        <w:t>direct_bounded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是刻意信息受限的基线，不能作为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默认模型输入；默认工作流在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中分析完整对象，再传递完整确定性事实和有界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top-feature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预览。事实方法的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匹配是输入已包含计算事实后的接口传递终点，不是自由文本或模型能力上限。外部评分与功能感知调查属于描述性、便利样本评价；它们不是随机对照试验，不包含任务准确率或完成时间，也不建立用户获益。它们与机制性消融分开报告，不能解释为学习增益或临床效用证据。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提供独立数值事实基准，但没有提供独立模型解释质量评估。软件兼容性仍只覆盖所测版本，图形检查范围有限，未验证完整上游版本矩阵。</w:t>
      </w:r>
    </w:p>
    <w:p>
      <w:r>
        <w:rPr>
          <w:b w:val="0"/>
          <w:i w:val="0"/>
        </w:rPr>
        <w:t>面向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Advances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BMC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下一步应先冻结版本、提示及评分规则，再增加未参与开发的数据、更多模型和多个代码代理，并在隔离沙箱中部署执行工具基线；相关工具需在共同任务上部署比较。下一轮用户研究应预注册任务正确标准、完成时间、信任校准和认知负荷，明确招募、伦理和同意流程，并采用目标用户群体进行对照评价。本文不据当前功能感知评分推断学习或用户收益。</w:t>
      </w:r>
    </w:p>
    <w:p>
      <w:pPr>
        <w:pStyle w:val="Heading1"/>
      </w:pP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结论</w:t>
      </w:r>
    </w:p>
    <w:p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生物信息学对象提供具有来源追踪与显式检查记录的解释层。其价值目前得到机制与工作流层面的支持；生物学解释质量和真实用户收益仍需独立验证。</w:t>
      </w:r>
    </w:p>
    <w:p>
      <w:pPr>
        <w:pStyle w:val="Heading1"/>
      </w:pPr>
      <w:r>
        <w:rPr>
          <w:b w:val="0"/>
          <w:i w:val="0"/>
        </w:rPr>
        <w:t>数据、代码与稿件声明</w:t>
      </w:r>
    </w:p>
    <w:p>
      <w:r>
        <w:rPr>
          <w:b/>
          <w:i w:val="0"/>
        </w:rPr>
        <w:t>软件可用性。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0.3.1，MIT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许可证，要求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4.1.0，本研究使用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4.3.3。源代码、安装说明、示例、测试及复现脚本已保存在项目中。公开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GitHub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URL：[待作者补齐]；版本化归档/Zenodo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DOI：[待作者补齐]。本稿不将本地文件路径当作公开发布地址。</w:t>
      </w:r>
    </w:p>
    <w:p>
      <w:r>
        <w:rPr>
          <w:b/>
          <w:i w:val="0"/>
        </w:rPr>
        <w:t>数据与补充材料。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airway/GSE52778、PBMC3k、pasilla、ALL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均为公开数据；Reactome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使用带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的下载快照。120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个规模案例由可复现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脚本生成，完整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个目标及逐项主实验评分列于表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research/results/main_scale_480/</w:t>
      </w:r>
      <w:r>
        <w:rPr>
          <w:b w:val="0"/>
          <w:i w:val="0"/>
        </w:rPr>
        <w:t>。补充材料独立提供数据版本和五数据集测试（S1）、相近工具与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（S2）、主实验消融与原始记录（S3）、双模型规模共同任务（S3b）、预实验迭代（S4）、外部评分者与功能感知评价（S5）、语义负例（S6）、机制挑战和浏览器记录（S7）及投稿信息缺口（S8）。外部评分仅以聚合结果进入项目，不保存个人身份或原始评语文件。论文图表集中编排于附录，正文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1-4、表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1-8、补充图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S1-S3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S1-S5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均有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Word/Excel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与独立资产。</w:t>
      </w:r>
    </w:p>
    <w:p>
      <w:r>
        <w:rPr>
          <w:b/>
          <w:i w:val="0"/>
        </w:rPr>
        <w:t>作者贡献。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[待作者按真实分工填写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CRediT：概念设计、方法学、软件、验证、正式分析、数据整理、写作、可视化、监督与经费获取；无需列入未承担的角色。]</w:t>
      </w:r>
    </w:p>
    <w:p>
      <w:r>
        <w:rPr>
          <w:b/>
          <w:i w:val="0"/>
        </w:rPr>
        <w:t>利益冲突。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[待全体作者确认并填写。]</w:t>
      </w:r>
    </w:p>
    <w:p>
      <w:r>
        <w:rPr>
          <w:b/>
          <w:i w:val="0"/>
        </w:rPr>
        <w:t>经费。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[待作者填写真实资助来源及编号；无资助时据实说明。]</w:t>
      </w:r>
    </w:p>
    <w:p>
      <w:r>
        <w:rPr>
          <w:b/>
          <w:i w:val="0"/>
        </w:rPr>
        <w:t>伦理声明。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软件和生物信息学验证仅复用公开数据。本文新增的外部评分与功能感知评分来自外部填写表的聚合记录；当前交付记录不包含姓名、邮箱或其他直接身份信息，也没有保存招募方式、评分者/参与者资历、知情同意、补偿或伦理审批文件。作者在投稿前必须核实该评价是否属于需要伦理审查或豁免的研究，并补充真实的招募、知情同意、数据管理和审查信息；本文不虚构伦理审批编号，也不将这些聚合结果描述为已完成的正式用户实验。</w:t>
      </w:r>
    </w:p>
    <w:p>
      <w:r>
        <w:rPr>
          <w:b/>
          <w:i w:val="0"/>
        </w:rPr>
        <w:t>AI</w:t>
      </w:r>
      <w:r>
        <w:rPr>
          <w:b/>
          <w:i w:val="0"/>
        </w:rPr>
        <w:t xml:space="preserve"> </w:t>
      </w:r>
      <w:r>
        <w:rPr>
          <w:b/>
          <w:i w:val="0"/>
        </w:rPr>
        <w:t>使用声明。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软件开发和稿件整理使用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助手；解释实验使用用户授权的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API。本文实验数字来自保存的实际结果，AI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输出的统计与生物学解释不作为独立参考真值。署名作者负责审阅代码、原始响应、引用和全部结论。</w:t>
      </w:r>
    </w:p>
    <w:p>
      <w:r>
        <w:rPr>
          <w:b/>
          <w:i w:val="0"/>
        </w:rPr>
        <w:t>通讯与作者信息。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姓名、单位、通讯邮箱：[待作者补齐]。</w:t>
      </w:r>
    </w:p>
    <w:p>
      <w:pPr>
        <w:pStyle w:val="Heading1"/>
      </w:pPr>
      <w:r>
        <w:rPr>
          <w:b w:val="0"/>
          <w:i w:val="0"/>
        </w:rPr>
        <w:t>参考文献</w:t>
      </w:r>
    </w:p>
    <w:p>
      <w:r>
        <w:rPr>
          <w:b w:val="0"/>
          <w:i w:val="0"/>
        </w:rPr>
        <w:t>以下采用顺序编码的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Vancouver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样式；期刊论文、预印本、软件文档、数据库快照和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GitHub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项目分别标注。文档/项目访问日期均为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2026-10-04。</w:t>
      </w:r>
    </w:p>
    <w:p>
      <w:r>
        <w:t xml:space="preserve">1. </w:t>
      </w:r>
      <w:r>
        <w:rPr>
          <w:b w:val="0"/>
          <w:i w:val="0"/>
        </w:rPr>
        <w:t>Love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Moderated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estimation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dispersion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2014;15:550.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10.1186/s13059-014-0550-8</w:t>
      </w:r>
      <w:r>
        <w:rPr>
          <w:b w:val="0"/>
          <w:i w:val="0"/>
        </w:rPr>
        <w:t>.</w:t>
      </w:r>
    </w:p>
    <w:p>
      <w:r>
        <w:t xml:space="preserve">2. </w:t>
      </w:r>
      <w:r>
        <w:rPr>
          <w:b w:val="0"/>
          <w:i w:val="0"/>
        </w:rPr>
        <w:t>Ritchie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powers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RNA-sequencing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microarray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studies.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2015;43:e47.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10.1093/nar/gkv007</w:t>
      </w:r>
      <w:r>
        <w:rPr>
          <w:b w:val="0"/>
          <w:i w:val="0"/>
        </w:rPr>
        <w:t>.</w:t>
      </w:r>
    </w:p>
    <w:p>
      <w:r>
        <w:t xml:space="preserve">3. </w:t>
      </w:r>
      <w:r>
        <w:rPr>
          <w:b w:val="0"/>
          <w:i w:val="0"/>
        </w:rPr>
        <w:t>Robinson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McCarthy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DJ,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Smyth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GK.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package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digital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2010;26:139-140.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10.1093/bioinformatics/btp616</w:t>
      </w:r>
      <w:r>
        <w:rPr>
          <w:b w:val="0"/>
          <w:i w:val="0"/>
        </w:rPr>
        <w:t>.</w:t>
      </w:r>
    </w:p>
    <w:p>
      <w:r>
        <w:t xml:space="preserve">4. </w:t>
      </w:r>
      <w:r>
        <w:rPr>
          <w:b w:val="0"/>
          <w:i w:val="0"/>
        </w:rPr>
        <w:t>Huber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Orchestrating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high-throughput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Methods.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2015;12:115-121.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10.1038/nmeth.3252</w:t>
      </w:r>
      <w:r>
        <w:rPr>
          <w:b w:val="0"/>
          <w:i w:val="0"/>
        </w:rPr>
        <w:t>.</w:t>
      </w:r>
    </w:p>
    <w:p>
      <w:r>
        <w:t xml:space="preserve">5. </w:t>
      </w:r>
      <w:r>
        <w:rPr>
          <w:b w:val="0"/>
          <w:i w:val="0"/>
        </w:rPr>
        <w:t>Amezquita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Orchestrating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Methods.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2020;17:137-145.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10.1038/s41592-019-0654-x</w:t>
      </w:r>
      <w:r>
        <w:rPr>
          <w:b w:val="0"/>
          <w:i w:val="0"/>
        </w:rPr>
        <w:t>.</w:t>
      </w:r>
    </w:p>
    <w:p>
      <w:r>
        <w:t xml:space="preserve">6. </w:t>
      </w:r>
      <w:r>
        <w:rPr>
          <w:b w:val="0"/>
          <w:i w:val="0"/>
        </w:rPr>
        <w:t>Hao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Dictionary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learning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integrative,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multimodal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scalable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Biotechnol.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2024;42:293-304.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10.1038/s41587-023-01767-y</w:t>
      </w:r>
      <w:r>
        <w:rPr>
          <w:b w:val="0"/>
          <w:i w:val="0"/>
        </w:rPr>
        <w:t>.</w:t>
      </w:r>
    </w:p>
    <w:p>
      <w:r>
        <w:t xml:space="preserve">7. </w:t>
      </w:r>
      <w:r>
        <w:rPr>
          <w:b w:val="0"/>
          <w:i w:val="0"/>
        </w:rPr>
        <w:t>Wickham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ggplot2: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Elegant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Graphics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Cham: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Springer;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10.1007/978-3-319-24277-4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[专著]</w:t>
      </w:r>
    </w:p>
    <w:p>
      <w:r>
        <w:t xml:space="preserve">8. </w:t>
      </w:r>
      <w:r>
        <w:rPr>
          <w:b w:val="0"/>
          <w:i w:val="0"/>
        </w:rPr>
        <w:t>Hou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Assessing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GPT-4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annotation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Methods.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2024;21:1462-1465.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10.1038/s41592-024-02235-4</w:t>
      </w:r>
      <w:r>
        <w:rPr>
          <w:b w:val="0"/>
          <w:i w:val="0"/>
        </w:rPr>
        <w:t>.</w:t>
      </w:r>
    </w:p>
    <w:p>
      <w:r>
        <w:t xml:space="preserve">9. </w:t>
      </w:r>
      <w:r>
        <w:rPr>
          <w:b w:val="0"/>
          <w:i w:val="0"/>
        </w:rPr>
        <w:t>Nagarajan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SCassist: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assistant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2025;41:btaf402.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10.1093/bioinformatics/btaf402</w:t>
      </w:r>
      <w:r>
        <w:rPr>
          <w:b w:val="0"/>
          <w:i w:val="0"/>
        </w:rPr>
        <w:t>.</w:t>
      </w:r>
    </w:p>
    <w:p>
      <w:r>
        <w:t xml:space="preserve">10. </w:t>
      </w:r>
      <w:r>
        <w:rPr>
          <w:b w:val="0"/>
          <w:i w:val="0"/>
        </w:rPr>
        <w:t>Wang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GeneAgent: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self-verification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gene-set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databases.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Methods.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2025;22:1677-1685.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10.1038/s41592-025-02748-6</w:t>
      </w:r>
      <w:r>
        <w:rPr>
          <w:b w:val="0"/>
          <w:i w:val="0"/>
        </w:rPr>
        <w:t>.</w:t>
      </w:r>
    </w:p>
    <w:p>
      <w:r>
        <w:t xml:space="preserve">11. </w:t>
      </w:r>
      <w:r>
        <w:rPr>
          <w:b w:val="0"/>
          <w:i w:val="0"/>
        </w:rPr>
        <w:t>Crowley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Tabula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Sapiens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Consortium,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Quake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Benchmarking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annotation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large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AnnDictionary.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Commun.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2025;16:9511.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10.1038/s41467-025-64511-x</w:t>
      </w:r>
      <w:r>
        <w:rPr>
          <w:b w:val="0"/>
          <w:i w:val="0"/>
        </w:rPr>
        <w:t>.</w:t>
      </w:r>
    </w:p>
    <w:p>
      <w:r>
        <w:t xml:space="preserve">12. </w:t>
      </w:r>
      <w:r>
        <w:rPr>
          <w:b w:val="0"/>
          <w:i w:val="0"/>
        </w:rPr>
        <w:t>Lobentanzer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platform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biomedical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application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large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Biotechnol.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2025;43:166-169.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10.1038/s41587-024-02534-3</w:t>
      </w:r>
      <w:r>
        <w:rPr>
          <w:b w:val="0"/>
          <w:i w:val="0"/>
        </w:rPr>
        <w:t>.</w:t>
      </w:r>
    </w:p>
    <w:p>
      <w:r>
        <w:t xml:space="preserve">13. </w:t>
      </w:r>
      <w:r>
        <w:rPr>
          <w:b w:val="0"/>
          <w:i w:val="0"/>
        </w:rPr>
        <w:t>Huang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Biomni: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General-Purpose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Biomedical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Agent.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bioRxiv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[预印本].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10.1101/2025.05.30.656746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项目：</w:t>
      </w:r>
      <w:r>
        <w:rPr>
          <w:b w:val="0"/>
          <w:i w:val="0"/>
        </w:rPr>
        <w:t>https://github.com/snap-stanford/Biomni</w:t>
      </w:r>
      <w:r>
        <w:rPr>
          <w:b w:val="0"/>
          <w:i w:val="0"/>
        </w:rPr>
        <w:t>.</w:t>
      </w:r>
    </w:p>
    <w:p>
      <w:r>
        <w:t xml:space="preserve">14. </w:t>
      </w:r>
      <w:r>
        <w:rPr>
          <w:b w:val="0"/>
          <w:i w:val="0"/>
        </w:rPr>
        <w:t>Su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BioMaster: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Multi-agent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system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automated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Patterns.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2026;7:101611.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10.1016/j.patter.2026.101611</w:t>
      </w:r>
      <w:r>
        <w:rPr>
          <w:b w:val="0"/>
          <w:i w:val="0"/>
        </w:rPr>
        <w:t>.</w:t>
      </w:r>
    </w:p>
    <w:p>
      <w:r>
        <w:t xml:space="preserve">15. </w:t>
      </w:r>
      <w:r>
        <w:rPr>
          <w:b w:val="0"/>
          <w:i w:val="0"/>
        </w:rPr>
        <w:t>Rue-Albrecht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Marini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Soneson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iSEE: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Interactive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SummarizedExperiment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Explorer.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F1000Res.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2018;7:741.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10.12688/f1000research.14966.1</w:t>
      </w:r>
      <w:r>
        <w:rPr>
          <w:b w:val="0"/>
          <w:i w:val="0"/>
        </w:rPr>
        <w:t>.</w:t>
      </w:r>
    </w:p>
    <w:p>
      <w:r>
        <w:t xml:space="preserve">16. </w:t>
      </w:r>
      <w:r>
        <w:rPr>
          <w:b w:val="0"/>
          <w:i w:val="0"/>
        </w:rPr>
        <w:t>Posit/tidyverse.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ellmer: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Large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[软件文档].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https://ellmer.tidyverse.org/</w:t>
      </w:r>
      <w:r>
        <w:rPr>
          <w:b w:val="0"/>
          <w:i w:val="0"/>
        </w:rPr>
        <w:t>.</w:t>
      </w:r>
    </w:p>
    <w:p>
      <w:r>
        <w:t xml:space="preserve">17. </w:t>
      </w:r>
      <w:r>
        <w:rPr>
          <w:b w:val="0"/>
          <w:i w:val="0"/>
        </w:rPr>
        <w:t>Zhu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Enhancing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overrepresentation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large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Advances.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2025;5:vbaf054.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10.1093/bioadv/vbaf054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项目：</w:t>
      </w:r>
      <w:r>
        <w:rPr>
          <w:b w:val="0"/>
          <w:i w:val="0"/>
        </w:rPr>
        <w:t>https://github.com/Alector-BIO/llm2geneset</w:t>
      </w:r>
      <w:r>
        <w:rPr>
          <w:b w:val="0"/>
          <w:i w:val="0"/>
        </w:rPr>
        <w:t>.</w:t>
      </w:r>
    </w:p>
    <w:p>
      <w:r>
        <w:t xml:space="preserve">18. </w:t>
      </w:r>
      <w:r>
        <w:rPr>
          <w:b w:val="0"/>
          <w:i w:val="0"/>
        </w:rPr>
        <w:t>Xie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CASSIA: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multi-agent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large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automated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interpretable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annotation.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Commun.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2026;17:389.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Published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10.1038/s41467-025-67084-x</w:t>
      </w:r>
      <w:r>
        <w:rPr>
          <w:b w:val="0"/>
          <w:i w:val="0"/>
        </w:rPr>
        <w:t>.</w:t>
      </w:r>
    </w:p>
    <w:p>
      <w:r>
        <w:t xml:space="preserve">19. </w:t>
      </w:r>
      <w:r>
        <w:rPr>
          <w:b w:val="0"/>
          <w:i w:val="0"/>
        </w:rPr>
        <w:t>Wu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scExtract: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leveraging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large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automated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annotation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prior-informed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multi-dataset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2025;26:174.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10.1186/s13059-025-03639-x</w:t>
      </w:r>
      <w:r>
        <w:rPr>
          <w:b w:val="0"/>
          <w:i w:val="0"/>
        </w:rPr>
        <w:t>.</w:t>
      </w:r>
    </w:p>
    <w:p>
      <w:r>
        <w:t xml:space="preserve">20. </w:t>
      </w:r>
      <w:r>
        <w:rPr>
          <w:b w:val="0"/>
          <w:i w:val="0"/>
        </w:rPr>
        <w:t>Farquhar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Kossen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Kuhn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Detecting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hallucinations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large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semantic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entropy.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Nature.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2024;630:625-630.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10.1038/s41586-024-07421-0</w:t>
      </w:r>
      <w:r>
        <w:rPr>
          <w:b w:val="0"/>
          <w:i w:val="0"/>
        </w:rPr>
        <w:t>.</w:t>
      </w:r>
    </w:p>
    <w:p>
      <w:r>
        <w:t xml:space="preserve">21. </w:t>
      </w:r>
      <w:r>
        <w:rPr>
          <w:b w:val="0"/>
          <w:i w:val="0"/>
        </w:rPr>
        <w:t>Yu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clusterProfiler: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package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biological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themes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among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clusters.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OMICS.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2012;16:284-287.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10.1089/omi.2011.0118</w:t>
      </w:r>
      <w:r>
        <w:rPr>
          <w:b w:val="0"/>
          <w:i w:val="0"/>
        </w:rPr>
        <w:t>.</w:t>
      </w:r>
    </w:p>
    <w:p>
      <w:r>
        <w:t xml:space="preserve">22. </w:t>
      </w:r>
      <w:r>
        <w:rPr>
          <w:b w:val="0"/>
          <w:i w:val="0"/>
        </w:rPr>
        <w:t>Benjamini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Hochberg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practical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powerful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approach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1995;57:289-300.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10.1111/j.2517-6161.1995.tb02031.x</w:t>
      </w:r>
      <w:r>
        <w:rPr>
          <w:b w:val="0"/>
          <w:i w:val="0"/>
        </w:rPr>
        <w:t>.</w:t>
      </w:r>
    </w:p>
    <w:p>
      <w:r>
        <w:t xml:space="preserve">23. </w:t>
      </w:r>
      <w:r>
        <w:rPr>
          <w:b w:val="0"/>
          <w:i w:val="0"/>
        </w:rPr>
        <w:t>Bourgon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Gentleman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Independent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filtering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increases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detection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power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high-throughput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experiments.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2010;107:9546-9551.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10.1073/pnas.0914005107</w:t>
      </w:r>
      <w:r>
        <w:rPr>
          <w:b w:val="0"/>
          <w:i w:val="0"/>
        </w:rPr>
        <w:t>.</w:t>
      </w:r>
    </w:p>
    <w:p>
      <w:r>
        <w:t xml:space="preserve">24.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Consortium.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full-text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literature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life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sciences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platform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innovation.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2015;43:D1042-D1048.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10.1093/nar/gku1061</w:t>
      </w:r>
      <w:r>
        <w:rPr>
          <w:b w:val="0"/>
          <w:i w:val="0"/>
        </w:rPr>
        <w:t>.</w:t>
      </w:r>
    </w:p>
    <w:p>
      <w:r>
        <w:t xml:space="preserve">25. </w:t>
      </w:r>
      <w:r>
        <w:rPr>
          <w:b w:val="0"/>
          <w:i w:val="0"/>
        </w:rPr>
        <w:t>Binns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QuickGO: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web-based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Ontology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searching.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2009;25:3045-3046.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10.1093/bioinformatics/btp536</w:t>
      </w:r>
      <w:r>
        <w:rPr>
          <w:b w:val="0"/>
          <w:i w:val="0"/>
        </w:rPr>
        <w:t>.</w:t>
      </w:r>
    </w:p>
    <w:p>
      <w:r>
        <w:t xml:space="preserve">26. </w:t>
      </w:r>
      <w:r>
        <w:rPr>
          <w:b w:val="0"/>
          <w:i w:val="0"/>
        </w:rPr>
        <w:t>Gillespie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Reactome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pathway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knowledgebase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2022;50:D687-D692.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10.1093/nar/gkab1028</w:t>
      </w:r>
      <w:r>
        <w:rPr>
          <w:b w:val="0"/>
          <w:i w:val="0"/>
        </w:rPr>
        <w:t>.</w:t>
      </w:r>
    </w:p>
    <w:p>
      <w:r>
        <w:t xml:space="preserve">27. </w:t>
      </w:r>
      <w:r>
        <w:rPr>
          <w:b w:val="0"/>
          <w:i w:val="0"/>
        </w:rPr>
        <w:t>Kanehisa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Goto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KEGG: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Kyoto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Encyclopedia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2000;28:27-30.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10.1093/nar/28.1.27</w:t>
      </w:r>
      <w:r>
        <w:rPr>
          <w:b w:val="0"/>
          <w:i w:val="0"/>
        </w:rPr>
        <w:t>.</w:t>
      </w:r>
    </w:p>
    <w:p>
      <w:r>
        <w:t xml:space="preserve">28. </w:t>
      </w:r>
      <w:r>
        <w:rPr>
          <w:b w:val="0"/>
          <w:i w:val="0"/>
        </w:rPr>
        <w:t>UniProt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Consortium.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UniProt: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Universal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Protein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Knowledgebase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2023;51:D523-D531.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10.1093/nar/gkac1052</w:t>
      </w:r>
      <w:r>
        <w:rPr>
          <w:b w:val="0"/>
          <w:i w:val="0"/>
        </w:rPr>
        <w:t>.</w:t>
      </w:r>
    </w:p>
    <w:p>
      <w:r>
        <w:t xml:space="preserve">29. </w:t>
      </w:r>
      <w:r>
        <w:rPr>
          <w:b w:val="0"/>
          <w:i w:val="0"/>
        </w:rPr>
        <w:t>Posit.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Shiny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[软件文档].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https://shiny.posit.co/r/</w:t>
      </w:r>
      <w:r>
        <w:rPr>
          <w:b w:val="0"/>
          <w:i w:val="0"/>
        </w:rPr>
        <w:t>.</w:t>
      </w:r>
    </w:p>
    <w:p>
      <w:r>
        <w:t xml:space="preserve">30. </w:t>
      </w:r>
      <w:r>
        <w:rPr>
          <w:b w:val="0"/>
          <w:i w:val="0"/>
        </w:rPr>
        <w:t>Himes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profiling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CRISPLD2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modulates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cytokine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2014;9:e99625.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10.1371/journal.pone.0099625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数据包：</w:t>
      </w:r>
      <w:r>
        <w:rPr>
          <w:b w:val="0"/>
          <w:i w:val="0"/>
        </w:rPr>
        <w:t>https://bioconductor.org/packages/airway/</w:t>
      </w:r>
      <w:r>
        <w:rPr>
          <w:b w:val="0"/>
          <w:i w:val="0"/>
        </w:rPr>
        <w:t>.</w:t>
      </w:r>
    </w:p>
    <w:p>
      <w:r>
        <w:t xml:space="preserve">31. </w:t>
      </w:r>
      <w:r>
        <w:rPr>
          <w:b w:val="0"/>
          <w:i w:val="0"/>
        </w:rPr>
        <w:t>Law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Smyth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GK.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voom: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precision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weights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unlock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linear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tools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counts.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2014;15:R29.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10.1186/gb-2014-15-2-r29</w:t>
      </w:r>
      <w:r>
        <w:rPr>
          <w:b w:val="0"/>
          <w:i w:val="0"/>
        </w:rPr>
        <w:t>.</w:t>
      </w:r>
    </w:p>
    <w:p>
      <w:r>
        <w:t xml:space="preserve">32. </w:t>
      </w:r>
      <w:r>
        <w:rPr>
          <w:b w:val="0"/>
          <w:i w:val="0"/>
        </w:rPr>
        <w:t>10x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PBMCs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Healthy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Donor,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Chromium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v1.1.0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[公开数据集].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https://cf.10xgenomics.com/samples/cell-exp/1.1.0/pbmc3k/pbmc3k_filtered_gene_bc_matrices.tar.gz</w:t>
      </w:r>
      <w:r>
        <w:rPr>
          <w:b w:val="0"/>
          <w:i w:val="0"/>
        </w:rPr>
        <w:t>.</w:t>
      </w:r>
    </w:p>
    <w:p>
      <w:r>
        <w:t xml:space="preserve">33. </w:t>
      </w:r>
      <w:r>
        <w:rPr>
          <w:b w:val="0"/>
          <w:i w:val="0"/>
        </w:rPr>
        <w:t>McInnes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Healy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Melville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UMAP: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Manifold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Approximation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Dimension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Reduction.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arXiv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[预印本].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2018;1802.03426.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https://arxiv.org/abs/1802.03426</w:t>
      </w:r>
      <w:r>
        <w:rPr>
          <w:b w:val="0"/>
          <w:i w:val="0"/>
        </w:rPr>
        <w:t>.</w:t>
      </w:r>
    </w:p>
    <w:p>
      <w:r>
        <w:t xml:space="preserve">34. </w:t>
      </w:r>
      <w:r>
        <w:rPr>
          <w:b w:val="0"/>
          <w:i w:val="0"/>
        </w:rPr>
        <w:t>Squair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Confronting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discoveries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single-cell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Commun.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2021;12:5692.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10.1038/s41467-021-25960-2</w:t>
      </w:r>
      <w:r>
        <w:rPr>
          <w:b w:val="0"/>
          <w:i w:val="0"/>
        </w:rPr>
        <w:t>.</w:t>
      </w:r>
    </w:p>
    <w:p>
      <w:r>
        <w:t xml:space="preserve">35. </w:t>
      </w:r>
      <w:r>
        <w:rPr>
          <w:b w:val="0"/>
          <w:i w:val="0"/>
        </w:rPr>
        <w:t>DeepSeek.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Pricing;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Thinking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[服务文档].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https://api-docs.deepseek.com/quick_start/pricing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https://api-docs.deepseek.com/guides/thinking_mode</w:t>
      </w:r>
      <w:r>
        <w:rPr>
          <w:b w:val="0"/>
          <w:i w:val="0"/>
        </w:rPr>
        <w:t>.</w:t>
      </w:r>
    </w:p>
    <w:p>
      <w:r>
        <w:t xml:space="preserve">36. </w:t>
      </w:r>
      <w:r>
        <w:rPr>
          <w:b w:val="0"/>
          <w:i w:val="0"/>
        </w:rPr>
        <w:t>Gallifant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TRIPOD-LLM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guideline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studies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large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2025;31:60-69.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10.1038/s41591-024-03425-5</w:t>
      </w:r>
      <w:r>
        <w:rPr>
          <w:b w:val="0"/>
          <w:i w:val="0"/>
        </w:rPr>
        <w:t>.</w:t>
      </w:r>
    </w:p>
    <w:p>
      <w:r>
        <w:t xml:space="preserve">37. </w:t>
      </w:r>
      <w:r>
        <w:rPr>
          <w:b w:val="0"/>
          <w:i w:val="0"/>
        </w:rPr>
        <w:t>Bioconductor.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Acute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Leukemia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package,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1.44.0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[公开数据集].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https://bioconductor.org/packages/3.18/data/experiment/html/ALL.html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6c52471acf4bb77ed86e71c25e69ce5cc5235acec50785107b212934c6eec5db</w:t>
      </w:r>
      <w:r>
        <w:rPr>
          <w:b w:val="0"/>
          <w:i w:val="0"/>
        </w:rPr>
        <w:t>.</w:t>
      </w:r>
    </w:p>
    <w:p>
      <w:r>
        <w:t xml:space="preserve">38. </w:t>
      </w:r>
      <w:r>
        <w:rPr>
          <w:b w:val="0"/>
          <w:i w:val="0"/>
        </w:rPr>
        <w:t>Bioconductor.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bladderbatch: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Illustrating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1.40.0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[公开数据集].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https://bioconductor.org/packages/3.18/data/experiment/html/bladderbatch.html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74e7a300c2d2835f0dc82d70f9e90af55e7a5d248e7364a80b9e6bdd57dbafa5</w:t>
      </w:r>
      <w:r>
        <w:rPr>
          <w:b w:val="0"/>
          <w:i w:val="0"/>
        </w:rPr>
        <w:t>.</w:t>
      </w:r>
    </w:p>
    <w:p>
      <w:pPr>
        <w:pStyle w:val="Heading1"/>
        <w:pageBreakBefore/>
      </w:pPr>
      <w:r>
        <w:rPr>
          <w:b w:val="0"/>
          <w:i w:val="0"/>
        </w:rPr>
        <w:t>附录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A：正文引用图表</w:t>
      </w:r>
    </w:p>
    <w:p>
      <w:r>
        <w:rPr>
          <w:b w:val="0"/>
          <w:i w:val="0"/>
        </w:rPr>
        <w:t>图表在本稿中集中编排，编号沿用正文引用。每张图由相关子图组成；图内采用英文标签以便后续英文稿复用，每个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panel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同时保留独立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PDF/PNG/SVG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原件。图注与表注为中文。表格为可编辑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表格，单独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Excel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保留相同展示内容及数值来源。</w:t>
      </w:r>
    </w:p>
    <w:p>
      <w:pPr>
        <w:pStyle w:val="Heading2"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系统架构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/>
          <w:i w:val="0"/>
          <w:sz w:val="19"/>
        </w:rPr>
        <w:t>图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1.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BioExplainR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的确定性事实、可选语言组织与分项验证架构。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(A)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从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R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分析对象到</w:t>
      </w:r>
      <w:r>
        <w:rPr>
          <w:b w:val="0"/>
          <w:i w:val="0"/>
          <w:sz w:val="19"/>
        </w:rPr>
        <w:t xml:space="preserve"> </w:t>
      </w:r>
      <w:r>
        <w:rPr>
          <w:rFonts w:ascii="DejaVu Sans Mono" w:hAnsi="DejaVu Sans Mono"/>
          <w:b w:val="0"/>
          <w:i w:val="0"/>
          <w:sz w:val="19"/>
        </w:rPr>
        <w:t>bio_context</w:t>
      </w:r>
      <w:r>
        <w:rPr>
          <w:b w:val="0"/>
          <w:i w:val="0"/>
          <w:sz w:val="19"/>
        </w:rPr>
        <w:t>、语言组织、检查和报告；(B)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输入、R-computed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context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和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bounded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model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request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的数据契约；(C)</w:t>
      </w:r>
      <w:r>
        <w:rPr>
          <w:b w:val="0"/>
          <w:i w:val="0"/>
          <w:sz w:val="19"/>
        </w:rPr>
        <w:t xml:space="preserve"> </w:t>
      </w:r>
      <w:r>
        <w:rPr>
          <w:rFonts w:ascii="DejaVu Sans Mono" w:hAnsi="DejaVu Sans Mono"/>
          <w:b w:val="0"/>
          <w:i w:val="0"/>
          <w:sz w:val="19"/>
        </w:rPr>
        <w:t>pass</w:t>
      </w:r>
      <w:r>
        <w:rPr>
          <w:b w:val="0"/>
          <w:i w:val="0"/>
          <w:sz w:val="19"/>
        </w:rPr>
        <w:t>、</w:t>
      </w:r>
      <w:r>
        <w:rPr>
          <w:rFonts w:ascii="DejaVu Sans Mono" w:hAnsi="DejaVu Sans Mono"/>
          <w:b w:val="0"/>
          <w:i w:val="0"/>
          <w:sz w:val="19"/>
        </w:rPr>
        <w:t>fail</w:t>
      </w:r>
      <w:r>
        <w:rPr>
          <w:b w:val="0"/>
          <w:i w:val="0"/>
          <w:sz w:val="19"/>
        </w:rPr>
        <w:t>、</w:t>
      </w:r>
      <w:r>
        <w:rPr>
          <w:rFonts w:ascii="DejaVu Sans Mono" w:hAnsi="DejaVu Sans Mono"/>
          <w:b w:val="0"/>
          <w:i w:val="0"/>
          <w:sz w:val="19"/>
        </w:rPr>
        <w:t>partial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与</w:t>
      </w:r>
      <w:r>
        <w:rPr>
          <w:b w:val="0"/>
          <w:i w:val="0"/>
          <w:sz w:val="19"/>
        </w:rPr>
        <w:t xml:space="preserve"> </w:t>
      </w:r>
      <w:r>
        <w:rPr>
          <w:rFonts w:ascii="DejaVu Sans Mono" w:hAnsi="DejaVu Sans Mono"/>
          <w:b w:val="0"/>
          <w:i w:val="0"/>
          <w:sz w:val="19"/>
        </w:rPr>
        <w:t>unverified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的检查状态；(D)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本地工作台的模型、运行记录、对象分析和图形工作流。适配器在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R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侧计算事实，有界摘要才可发送给模型；检查通过不等于自由文本或科学结论整体正确，证据命中也不等于论断支持。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目标事实匹配消融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175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ab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7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/>
          <w:i w:val="0"/>
          <w:sz w:val="19"/>
        </w:rPr>
        <w:t>图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2.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120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个案例和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480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个目标事实的输入消融。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(A)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三轮总体匹配率及样本标准差；(B)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三轮匹配率轨迹，图内直接标注每轮分子/分母；(C)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六类功能家族匹配热图；(D)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请求中位响应时间。方法顺序为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bounded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raw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output、R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facts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only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和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R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facts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+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evidence。有界原始输出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30.35%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±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0.12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个百分点，覆盖率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35.83%，已回答准确率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84.69%；两种事实方法均为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100.0%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±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0.0。每方法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360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次请求、1,440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条逐事实评分；重复共享案例和目标，误差棒不是置信区间。100%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是输入已包含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R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标量事实后的管道设计目标，不是模型能力上限或全文正确率。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40271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airway_P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27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/>
          <w:i w:val="0"/>
          <w:sz w:val="19"/>
        </w:rPr>
        <w:t>图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3.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airway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配对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RNA-seq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的兼容性与设计边界。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(A)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样本文库得分，颜色为处理、点形为去来源化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donor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code；(B)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每个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donor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内从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untrt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到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trt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的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PC1/PC2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位移；(C)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PC1/PC2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方差解释率；(D)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文库、供体、处理和配对设计的范围。基于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VST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表达中的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500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个最高方差非恒定特征，中心化且不标准化；PC1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与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PC2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分别解释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47.8429%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和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23.3834%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的方差。共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8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个文库、4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个供体，而非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8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个独立供体。图用于真实对象与图形工作流展示，不将分离趋势视为额外假设检验。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UMAP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40271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PBMC3k_U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27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/>
          <w:i w:val="0"/>
          <w:sz w:val="19"/>
        </w:rPr>
        <w:t>图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4.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单供体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PBMC3k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的嵌入、QC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和解释边界。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(A)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细胞嵌入，颜色表示线粒体比例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&lt;=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5%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或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&gt;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5%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的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QC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分组；(B)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两个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QC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分组的细胞数；(C)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nCount、nFeature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和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percent.mt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的保存摘要分布；(D)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2,700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个细胞、32,738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个特征、单供体和不进行细胞类型验证的范围。使用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1,000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个最高方差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log-normalized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特征的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20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个主成分，由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uwot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生成嵌入；种子为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20261004，单线程。QC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颜色不是细胞类型标签；该阈值仅用于分组展示，未据此排除细胞。2,700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个细胞来自一个供体，不构成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2,700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个独立生物学重复。UMAP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不作为差异推断或注释准确率验证。</w:t>
      </w:r>
    </w:p>
    <w:p>
      <w:pPr>
        <w:sectPr>
          <w:footerReference w:type="default" r:id="rId9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2"/>
        <w:pageBreakBefore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相关工具的对象接入、事实与检查能力比较</w:t>
      </w:r>
    </w:p>
    <w:p>
      <w:pPr>
        <w:keepNext/>
      </w:pPr>
      <w:r>
        <w:rPr>
          <w:b/>
          <w:i w:val="0"/>
          <w:sz w:val="19"/>
        </w:rPr>
        <w:t>表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1.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相关工具的对象接入、事实与检查能力比较</w:t>
      </w:r>
    </w:p>
    <w:tbl>
      <w:tblPr>
        <w:tblW w:type="dxa" w:w="1099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757"/>
        <w:gridCol w:w="1304"/>
        <w:gridCol w:w="1191"/>
        <w:gridCol w:w="1191"/>
        <w:gridCol w:w="1361"/>
        <w:gridCol w:w="1361"/>
        <w:gridCol w:w="1417"/>
        <w:gridCol w:w="1417"/>
      </w:tblGrid>
      <w:tr>
        <w:trPr>
          <w:cantSplit/>
          <w:tblHeader/>
        </w:trPr>
        <w:tc>
          <w:tcPr>
            <w:tcW w:type="dxa" w:w="175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Tool</w:t>
            </w:r>
          </w:p>
        </w:tc>
        <w:tc>
          <w:tcPr>
            <w:tcW w:type="dxa" w:w="130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Object parsing</w:t>
            </w:r>
          </w:p>
        </w:tc>
        <w:tc>
          <w:tcPr>
            <w:tcW w:type="dxa" w:w="119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R facts</w:t>
            </w:r>
          </w:p>
        </w:tc>
        <w:tc>
          <w:tcPr>
            <w:tcW w:type="dxa" w:w="119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136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Claim check</w:t>
            </w:r>
          </w:p>
        </w:tc>
        <w:tc>
          <w:tcPr>
            <w:tcW w:type="dxa" w:w="136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Plot check</w:t>
            </w:r>
          </w:p>
        </w:tc>
        <w:tc>
          <w:tcPr>
            <w:tcW w:type="dxa" w:w="141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Error/fix</w:t>
            </w:r>
          </w:p>
        </w:tc>
        <w:tc>
          <w:tcPr>
            <w:tcW w:type="dxa" w:w="141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8"/>
              </w:rPr>
              <w:t>Language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GPTCelltype [8]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×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×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×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×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Model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SCassist [9]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×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Model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GeneAgent [10]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×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Model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AnnDictionary [11]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×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×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×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Model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BioChatter [12]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Model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Biomni [13]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Model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BioMaster [14]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Model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iSEE [15]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×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×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Interface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ellmer [16]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×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×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×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×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Model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llm2geneset [17]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×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×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×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Model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BioExplainR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8"/>
              </w:rPr>
              <w:t>English / optional Chinese</w:t>
            </w:r>
          </w:p>
        </w:tc>
      </w:tr>
    </w:tbl>
    <w:p>
      <w:r>
        <w:rPr>
          <w:b/>
          <w:i w:val="0"/>
          <w:sz w:val="17"/>
        </w:rPr>
        <w:t>表注：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设计比较，不是性能排名。✓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表示在定义范围内有文档描述的能力；partial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表示对象/任务受限、应用依赖或机制目标不同；×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表示未确认本文式内置机制，不表示不能扩展。Object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parsing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指生信对象或特定输入结构接入；R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facts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指可重复程序事实摘要；Evidence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指可追溯外部来源，不证明支持；Claim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check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指生成内容的显式核对；Plot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check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指源结果一致性；Error/fix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指执行追踪、诊断或修复支持。信息截至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2026-10-04，依据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[8-17]，比较工具没有共同任务实测。</w:t>
      </w:r>
    </w:p>
    <w:p>
      <w:r>
        <w:rPr>
          <w:b/>
          <w:i w:val="0"/>
          <w:sz w:val="17"/>
        </w:rPr>
        <w:t>来源：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论文参考文献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[8-17]；BioExplainR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0.3.1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源码和接口文档；人工设计编码，非运行评分</w:t>
      </w:r>
    </w:p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主实验结果</w:t>
      </w:r>
    </w:p>
    <w:p>
      <w:pPr>
        <w:keepNext/>
      </w:pPr>
      <w:r>
        <w:rPr>
          <w:b/>
          <w:i w:val="0"/>
          <w:sz w:val="19"/>
        </w:rPr>
        <w:t>表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2.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三种输入方法的主实验结果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928"/>
        <w:gridCol w:w="2268"/>
        <w:gridCol w:w="1417"/>
        <w:gridCol w:w="1701"/>
        <w:gridCol w:w="1984"/>
      </w:tblGrid>
      <w:tr>
        <w:trPr>
          <w:cantSplit/>
          <w:tblHeader/>
        </w:trPr>
        <w:tc>
          <w:tcPr>
            <w:tcW w:type="dxa" w:w="192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type="dxa" w:w="226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正确/目标（匹配率）</w:t>
            </w:r>
          </w:p>
        </w:tc>
        <w:tc>
          <w:tcPr>
            <w:tcW w:type="dxa" w:w="141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覆盖率</w:t>
            </w:r>
          </w:p>
        </w:tc>
        <w:tc>
          <w:tcPr>
            <w:tcW w:type="dxa" w:w="170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已回答准确率</w:t>
            </w:r>
          </w:p>
        </w:tc>
        <w:tc>
          <w:tcPr>
            <w:tcW w:type="dxa" w:w="198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中位响应时间（s）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有界原始输出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437/1440（30.3%）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35.8%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84.7%</w:t>
            </w:r>
          </w:p>
        </w:tc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2.230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 事实摘要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1440/1440（100.0%）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2.680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 事实加证据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1440/1440（100.0%）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2.905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每方法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120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案例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×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3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次调用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=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360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次请求，480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个目标重复三轮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=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1,440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条评分；三方法共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1,080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次请求、4,320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条评分。覆盖率为非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null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标量数/目标数，已回答准确率为正确数/已回答数；有界原始输出匹配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437/1,440、覆盖率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35.83%、已回答准确率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84.69%；两种事实方法均为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1,440/1,440。100%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是已提供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标量事实后的管道设计目标，不是模型能力上限、自由文本正确率或外部泛化性能。时间为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API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请求耗时的中位数，不含上游分析、数据下载或证据检索。</w:t>
      </w:r>
    </w:p>
    <w:p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research/results/main_scale_480/ablation_summary.csv；fact_scores.csv；model_calls.csv</w:t>
      </w:r>
    </w:p>
    <w:p>
      <w:pPr>
        <w:pStyle w:val="Heading2"/>
        <w:pageBreakBefore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实际对象兼容性</w:t>
      </w:r>
    </w:p>
    <w:p>
      <w:pPr>
        <w:keepNext/>
      </w:pPr>
      <w:r>
        <w:rPr>
          <w:b/>
          <w:i w:val="0"/>
          <w:sz w:val="19"/>
        </w:rPr>
        <w:t>表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3.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所测真实对象与版本的兼容性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2268"/>
        <w:gridCol w:w="1417"/>
        <w:gridCol w:w="2835"/>
        <w:gridCol w:w="2778"/>
      </w:tblGrid>
      <w:tr>
        <w:trPr>
          <w:cantSplit/>
          <w:tblHeader/>
        </w:trPr>
        <w:tc>
          <w:tcPr>
            <w:tcW w:type="dxa" w:w="226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对象/软件版本</w:t>
            </w:r>
          </w:p>
        </w:tc>
        <w:tc>
          <w:tcPr>
            <w:tcW w:type="dxa" w:w="141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输入</w:t>
            </w:r>
          </w:p>
        </w:tc>
        <w:tc>
          <w:tcPr>
            <w:tcW w:type="dxa" w:w="2835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摘要/绘图观察</w:t>
            </w:r>
          </w:p>
        </w:tc>
        <w:tc>
          <w:tcPr>
            <w:tcW w:type="dxa" w:w="277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解释边界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DESeqResults / DESeq2 1.42.0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airway 配对</w:t>
            </w:r>
          </w:p>
        </w:tc>
        <w:tc>
          <w:tcPr>
            <w:tcW w:type="dxa" w:w="28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22,369 特征；显著 999（519 上、480 下）</w:t>
            </w:r>
          </w:p>
        </w:tc>
        <w:tc>
          <w:tcPr>
            <w:tcW w:type="dxa" w:w="27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完整结果计数；未经 LFC shrinkage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MArrayLM / limma 3.58.1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airway voom</w:t>
            </w:r>
          </w:p>
        </w:tc>
        <w:tc>
          <w:tcPr>
            <w:tcW w:type="dxa" w:w="28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系数 dextrt；显著 1,301</w:t>
            </w:r>
          </w:p>
        </w:tc>
        <w:tc>
          <w:tcPr>
            <w:tcW w:type="dxa" w:w="27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多系数需明确选择；与 DESeq2 不必相同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TopTags / edgeR 4.0.16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airway 准似然</w:t>
            </w:r>
          </w:p>
        </w:tc>
        <w:tc>
          <w:tcPr>
            <w:tcW w:type="dxa" w:w="28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完整 TopTags；显著 1,292</w:t>
            </w:r>
          </w:p>
        </w:tc>
        <w:tc>
          <w:tcPr>
            <w:tcW w:type="dxa" w:w="27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相同过滤/设计；统计模型不同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RangedSummarizedExperiment / 1.32.0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原始 airway</w:t>
            </w:r>
          </w:p>
        </w:tc>
        <w:tc>
          <w:tcPr>
            <w:tcW w:type="dxa" w:w="28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63,677 特征 × 8 文库</w:t>
            </w:r>
          </w:p>
        </w:tc>
        <w:tc>
          <w:tcPr>
            <w:tcW w:type="dxa" w:w="27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 文库来自 4 供体；assay 诊断有界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SingleCellExperiment 1.24.0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PBMC3k</w:t>
            </w:r>
          </w:p>
        </w:tc>
        <w:tc>
          <w:tcPr>
            <w:tcW w:type="dxa" w:w="28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32,738 特征；2,700 细胞；QC/UMAP</w:t>
            </w:r>
          </w:p>
        </w:tc>
        <w:tc>
          <w:tcPr>
            <w:tcW w:type="dxa" w:w="27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单供体；稀疏诊断标记检查范围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Seurat / SeuratObject 5.0.1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同一 PBMC3k</w:t>
            </w:r>
          </w:p>
        </w:tc>
        <w:tc>
          <w:tcPr>
            <w:tcW w:type="dxa" w:w="28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2,700 细胞；Assay5；QC/UMAP</w:t>
            </w:r>
          </w:p>
        </w:tc>
        <w:tc>
          <w:tcPr>
            <w:tcW w:type="dxa" w:w="27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对象接入不是细胞类型标注验证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Biobase ExpressionSet / ALL 1.44.0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ALL</w:t>
            </w:r>
          </w:p>
        </w:tc>
        <w:tc>
          <w:tcPr>
            <w:tcW w:type="dxa" w:w="28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12,625 特征；128 样本；10 个 BT 分组</w:t>
            </w:r>
          </w:p>
        </w:tc>
        <w:tc>
          <w:tcPr>
            <w:tcW w:type="dxa" w:w="27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对象摘要；不推断差异设计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Biobase ExpressionSet / bladderbatch 1.40.0</w:t>
            </w:r>
          </w:p>
        </w:tc>
        <w:tc>
          <w:tcPr>
            <w:tcW w:type="dxa" w:w="141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bladderbatch</w:t>
            </w:r>
          </w:p>
        </w:tc>
        <w:tc>
          <w:tcPr>
            <w:tcW w:type="dxa" w:w="28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22,283 特征；57 样本；3 癌症组；5 批次</w:t>
            </w:r>
          </w:p>
        </w:tc>
        <w:tc>
          <w:tcPr>
            <w:tcW w:type="dxa" w:w="27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批次与分组摘要；不等于批次校正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差异表达筛选为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P</w:t>
      </w:r>
      <w:r>
        <w:rPr>
          <w:b w:val="0"/>
          <w:i w:val="0"/>
          <w:sz w:val="18"/>
          <w:vertAlign w:val="subscript"/>
        </w:rPr>
        <w:t>adj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&lt;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0.05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且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|log2FC|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&gt;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1，采用各上游方法的结果；不同方法显著数不要求一致。此表仅描述实际安装版本与数据的成功观察，不是全部上游版本兼容矩阵，Seurat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v4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未实际安装验证。SummarizedExperiment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的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Sample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列记录文库标识，供体数由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cell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元数据判断。ALL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与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bladderbatch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的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ExpressionSet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仅做对象、分组和批次摘要，不宣称完成差异表达或批次校正。</w:t>
      </w:r>
    </w:p>
    <w:p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research/results/compatibility.json；research/results/public_datasets/dataset_tests.csv；data_manifest.json；prepare_real_data.R；缓存中的真实对象</w:t>
      </w:r>
    </w:p>
    <w:p>
      <w:pPr>
        <w:pStyle w:val="Heading2"/>
        <w:pageBreakBefore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各案例目标事实评分</w:t>
      </w:r>
    </w:p>
    <w:p>
      <w:pPr>
        <w:keepNext/>
      </w:pPr>
      <w:r>
        <w:rPr>
          <w:b/>
          <w:i w:val="0"/>
          <w:sz w:val="19"/>
        </w:rPr>
        <w:t>表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4.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六类功能家族的目标事实匹配数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2835"/>
        <w:gridCol w:w="2154"/>
        <w:gridCol w:w="2154"/>
        <w:gridCol w:w="2154"/>
      </w:tblGrid>
      <w:tr>
        <w:trPr>
          <w:cantSplit/>
          <w:tblHeader/>
        </w:trPr>
        <w:tc>
          <w:tcPr>
            <w:tcW w:type="dxa" w:w="2835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案例</w:t>
            </w:r>
          </w:p>
        </w:tc>
        <w:tc>
          <w:tcPr>
            <w:tcW w:type="dxa" w:w="215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有界原始输出</w:t>
            </w:r>
          </w:p>
        </w:tc>
        <w:tc>
          <w:tcPr>
            <w:tcW w:type="dxa" w:w="215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R 事实摘要</w:t>
            </w:r>
          </w:p>
        </w:tc>
        <w:tc>
          <w:tcPr>
            <w:tcW w:type="dxa" w:w="215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R 事实加证据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 composition</w:t>
            </w:r>
          </w:p>
        </w:tc>
        <w:tc>
          <w:tcPr>
            <w:tcW w:type="dxa" w:w="215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125/180</w:t>
            </w:r>
          </w:p>
        </w:tc>
        <w:tc>
          <w:tcPr>
            <w:tcW w:type="dxa" w:w="215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180/180</w:t>
            </w:r>
          </w:p>
        </w:tc>
        <w:tc>
          <w:tcPr>
            <w:tcW w:type="dxa" w:w="215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180/180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 expression</w:t>
            </w:r>
          </w:p>
        </w:tc>
        <w:tc>
          <w:tcPr>
            <w:tcW w:type="dxa" w:w="215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0/360</w:t>
            </w:r>
          </w:p>
        </w:tc>
        <w:tc>
          <w:tcPr>
            <w:tcW w:type="dxa" w:w="215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360/360</w:t>
            </w:r>
          </w:p>
        </w:tc>
        <w:tc>
          <w:tcPr>
            <w:tcW w:type="dxa" w:w="215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360/360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215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25/240</w:t>
            </w:r>
          </w:p>
        </w:tc>
        <w:tc>
          <w:tcPr>
            <w:tcW w:type="dxa" w:w="215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240/240</w:t>
            </w:r>
          </w:p>
        </w:tc>
        <w:tc>
          <w:tcPr>
            <w:tcW w:type="dxa" w:w="215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240/240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 summary</w:t>
            </w:r>
          </w:p>
        </w:tc>
        <w:tc>
          <w:tcPr>
            <w:tcW w:type="dxa" w:w="215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0/180</w:t>
            </w:r>
          </w:p>
        </w:tc>
        <w:tc>
          <w:tcPr>
            <w:tcW w:type="dxa" w:w="215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180/180</w:t>
            </w:r>
          </w:p>
        </w:tc>
        <w:tc>
          <w:tcPr>
            <w:tcW w:type="dxa" w:w="215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180/180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215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120/240</w:t>
            </w:r>
          </w:p>
        </w:tc>
        <w:tc>
          <w:tcPr>
            <w:tcW w:type="dxa" w:w="215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240/240</w:t>
            </w:r>
          </w:p>
        </w:tc>
        <w:tc>
          <w:tcPr>
            <w:tcW w:type="dxa" w:w="215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240/240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Single-cell</w:t>
            </w:r>
          </w:p>
        </w:tc>
        <w:tc>
          <w:tcPr>
            <w:tcW w:type="dxa" w:w="215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167/240</w:t>
            </w:r>
          </w:p>
        </w:tc>
        <w:tc>
          <w:tcPr>
            <w:tcW w:type="dxa" w:w="215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240/240</w:t>
            </w:r>
          </w:p>
        </w:tc>
        <w:tc>
          <w:tcPr>
            <w:tcW w:type="dxa" w:w="215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240/240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每类分母为该功能家族的唯一目标数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×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3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次重复，不是生物学样本数；六类分别为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cell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composition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60、differential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expression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120、enrichment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80、generic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60、PCA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80、single-cell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80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个唯一目标，表中显示为三轮总计。完整逐项事实见表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8。</w:t>
      </w:r>
    </w:p>
    <w:p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research/results/main_scale_480/family_summary.csv；fact_scores.csv；case_manifest.csv</w:t>
      </w:r>
    </w:p>
    <w:p>
      <w:pPr>
        <w:pStyle w:val="Heading2"/>
        <w:pageBreakBefore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声明验证挑战</w:t>
      </w:r>
    </w:p>
    <w:p>
      <w:pPr>
        <w:keepNext/>
      </w:pPr>
      <w:r>
        <w:rPr>
          <w:b/>
          <w:i w:val="0"/>
          <w:sz w:val="19"/>
        </w:rPr>
        <w:t>表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5.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显式声明验证的受控挑战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3402"/>
        <w:gridCol w:w="1134"/>
        <w:gridCol w:w="2381"/>
        <w:gridCol w:w="2381"/>
      </w:tblGrid>
      <w:tr>
        <w:trPr>
          <w:cantSplit/>
          <w:tblHeader/>
        </w:trPr>
        <w:tc>
          <w:tcPr>
            <w:tcW w:type="dxa" w:w="3402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挑战类型</w:t>
            </w:r>
          </w:p>
        </w:tc>
        <w:tc>
          <w:tcPr>
            <w:tcW w:type="dxa" w:w="113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项数</w:t>
            </w:r>
          </w:p>
        </w:tc>
        <w:tc>
          <w:tcPr>
            <w:tcW w:type="dxa" w:w="238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启用验证器</w:t>
            </w:r>
          </w:p>
        </w:tc>
        <w:tc>
          <w:tcPr>
            <w:tcW w:type="dxa" w:w="238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移除验证器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错误数字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38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 fail</w:t>
            </w:r>
          </w:p>
        </w:tc>
        <w:tc>
          <w:tcPr>
            <w:tcW w:type="dxa" w:w="238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unchecked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未知事实路径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38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 fail</w:t>
            </w:r>
          </w:p>
        </w:tc>
        <w:tc>
          <w:tcPr>
            <w:tcW w:type="dxa" w:w="238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unchecked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向量冒充标量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38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 fail</w:t>
            </w:r>
          </w:p>
        </w:tc>
        <w:tc>
          <w:tcPr>
            <w:tcW w:type="dxa" w:w="238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unchecked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未提供引用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38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 fail</w:t>
            </w:r>
          </w:p>
        </w:tc>
        <w:tc>
          <w:tcPr>
            <w:tcW w:type="dxa" w:w="238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unchecked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仅路径、无数值</w:t>
            </w:r>
          </w:p>
        </w:tc>
        <w:tc>
          <w:tcPr>
            <w:tcW w:type="dxa" w:w="113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38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 partial</w:t>
            </w:r>
          </w:p>
        </w:tc>
        <w:tc>
          <w:tcPr>
            <w:tcW w:type="dxa" w:w="238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unchecked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在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18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个事实加证据响应的上下文中逐类注入挑战。前四类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72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个显式错误全部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fail；最后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18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个仅路径无值声明均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partial，来自引用集合检查通过但事实值仍未验证。unchecked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指没有机器核对状态，不是通过。挑战衡量指定机制的识别能力，不是自然幻觉率或完整文本正确率。</w:t>
      </w:r>
    </w:p>
    <w:p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research/results/validation_ablation.csv；validation_summary.csv</w:t>
      </w:r>
    </w:p>
    <w:p>
      <w:pPr>
        <w:pStyle w:val="Heading2"/>
        <w:pageBreakBefore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图形与修复挑战</w:t>
      </w:r>
    </w:p>
    <w:p>
      <w:pPr>
        <w:keepNext/>
      </w:pPr>
      <w:r>
        <w:rPr>
          <w:b/>
          <w:i w:val="0"/>
          <w:sz w:val="19"/>
        </w:rPr>
        <w:t>表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6.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图形来源核对与参考水平修复挑战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3458"/>
        <w:gridCol w:w="1814"/>
        <w:gridCol w:w="2211"/>
        <w:gridCol w:w="1814"/>
      </w:tblGrid>
      <w:tr>
        <w:trPr>
          <w:cantSplit/>
          <w:tblHeader/>
        </w:trPr>
        <w:tc>
          <w:tcPr>
            <w:tcW w:type="dxa" w:w="345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检查案例</w:t>
            </w:r>
          </w:p>
        </w:tc>
        <w:tc>
          <w:tcPr>
            <w:tcW w:type="dxa" w:w="181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期望状态</w:t>
            </w:r>
          </w:p>
        </w:tc>
        <w:tc>
          <w:tcPr>
            <w:tcW w:type="dxa" w:w="221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实际状态</w:t>
            </w:r>
          </w:p>
        </w:tc>
        <w:tc>
          <w:tcPr>
            <w:tcW w:type="dxa" w:w="181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移除检查器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正确火山图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221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unchecked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火山图方向反转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221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unchecked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原始 P 值替代校正值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221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unchecked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正确 PCA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221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unchecked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 坐标改变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221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unchecked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 方差轴标签改变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221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unchecked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正确富集图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221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unchecked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富集点大小改变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221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unchecked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富集点颜色改变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221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unchecked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保持 untrt 参考水平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invariants_passed</w:t>
            </w:r>
          </w:p>
        </w:tc>
        <w:tc>
          <w:tcPr>
            <w:tcW w:type="dxa" w:w="221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invariants_passed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unchecked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反转为 trt 参考水平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invariants_failed</w:t>
            </w:r>
          </w:p>
        </w:tc>
        <w:tc>
          <w:tcPr>
            <w:tcW w:type="dxa" w:w="221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invariants_failed</w:t>
            </w:r>
          </w:p>
        </w:tc>
        <w:tc>
          <w:tcPr>
            <w:tcW w:type="dxa" w:w="18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unchecked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前三类正确图共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3/3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pass，六种注入错误共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6/6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fail，均由保存的真实数据对象构造。修复两项均能执行，指定不变量为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8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行及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dex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水平顺序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untrt、trt；只有正确参考通过。unchecked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表示无对应检查状态；修复不检查不变量时最多报告运行成功，不能判定语义正确。本表不估计一般图形错误或修复成功率。</w:t>
      </w:r>
    </w:p>
    <w:p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research/results/plot_challenges.csv；plot_findings.json；fix_validation.json</w:t>
      </w:r>
    </w:p>
    <w:p>
      <w:pPr>
        <w:pStyle w:val="Heading2"/>
        <w:pageBreakBefore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外部评分者与功能感知评价</w:t>
      </w:r>
    </w:p>
    <w:p>
      <w:pPr>
        <w:keepNext/>
      </w:pPr>
      <w:r>
        <w:rPr>
          <w:b/>
          <w:i w:val="0"/>
          <w:sz w:val="19"/>
        </w:rPr>
        <w:t>表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7.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外部评分者与功能感知评价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139"/>
        <w:gridCol w:w="2278"/>
        <w:gridCol w:w="789"/>
        <w:gridCol w:w="1008"/>
        <w:gridCol w:w="1008"/>
        <w:gridCol w:w="1227"/>
        <w:gridCol w:w="2190"/>
      </w:tblGrid>
      <w:tr>
        <w:trPr>
          <w:cantSplit/>
          <w:tblHeader/>
        </w:trPr>
        <w:tc>
          <w:tcPr>
            <w:tcW w:type="dxa" w:w="113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评价部分</w:t>
            </w:r>
          </w:p>
        </w:tc>
        <w:tc>
          <w:tcPr>
            <w:tcW w:type="dxa" w:w="227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8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type="dxa" w:w="100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均值</w:t>
            </w:r>
          </w:p>
        </w:tc>
        <w:tc>
          <w:tcPr>
            <w:tcW w:type="dxa" w:w="100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标准差</w:t>
            </w:r>
          </w:p>
        </w:tc>
        <w:tc>
          <w:tcPr>
            <w:tcW w:type="dxa" w:w="122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比例</w:t>
            </w:r>
          </w:p>
        </w:tc>
        <w:tc>
          <w:tcPr>
            <w:tcW w:type="dxa" w:w="2190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113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2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biological_support</w:t>
            </w:r>
          </w:p>
        </w:tc>
        <w:tc>
          <w:tcPr>
            <w:tcW w:type="dxa" w:w="78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1.733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0.445</w:t>
            </w:r>
          </w:p>
        </w:tc>
        <w:tc>
          <w:tcPr>
            <w:tcW w:type="dxa" w:w="122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19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分；本批无 0 分记录</w:t>
            </w:r>
          </w:p>
        </w:tc>
      </w:tr>
      <w:tr>
        <w:trPr>
          <w:cantSplit/>
        </w:trPr>
        <w:tc>
          <w:tcPr>
            <w:tcW w:type="dxa" w:w="113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2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error_localization</w:t>
            </w:r>
          </w:p>
        </w:tc>
        <w:tc>
          <w:tcPr>
            <w:tcW w:type="dxa" w:w="78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1.933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0.251</w:t>
            </w:r>
          </w:p>
        </w:tc>
        <w:tc>
          <w:tcPr>
            <w:tcW w:type="dxa" w:w="122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19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分；本批无 0 分记录</w:t>
            </w:r>
          </w:p>
        </w:tc>
      </w:tr>
      <w:tr>
        <w:trPr>
          <w:cantSplit/>
        </w:trPr>
        <w:tc>
          <w:tcPr>
            <w:tcW w:type="dxa" w:w="113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2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numeric_accuracy</w:t>
            </w:r>
          </w:p>
        </w:tc>
        <w:tc>
          <w:tcPr>
            <w:tcW w:type="dxa" w:w="78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1.756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0.432</w:t>
            </w:r>
          </w:p>
        </w:tc>
        <w:tc>
          <w:tcPr>
            <w:tcW w:type="dxa" w:w="122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19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分；本批无 0 分记录</w:t>
            </w:r>
          </w:p>
        </w:tc>
      </w:tr>
      <w:tr>
        <w:trPr>
          <w:cantSplit/>
        </w:trPr>
        <w:tc>
          <w:tcPr>
            <w:tcW w:type="dxa" w:w="113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2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readability</w:t>
            </w:r>
          </w:p>
        </w:tc>
        <w:tc>
          <w:tcPr>
            <w:tcW w:type="dxa" w:w="78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1.956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0.207</w:t>
            </w:r>
          </w:p>
        </w:tc>
        <w:tc>
          <w:tcPr>
            <w:tcW w:type="dxa" w:w="122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19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分；本批无 0 分记录</w:t>
            </w:r>
          </w:p>
        </w:tc>
      </w:tr>
      <w:tr>
        <w:trPr>
          <w:cantSplit/>
        </w:trPr>
        <w:tc>
          <w:tcPr>
            <w:tcW w:type="dxa" w:w="113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2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semantic_preservation</w:t>
            </w:r>
          </w:p>
        </w:tc>
        <w:tc>
          <w:tcPr>
            <w:tcW w:type="dxa" w:w="78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1.722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0.450</w:t>
            </w:r>
          </w:p>
        </w:tc>
        <w:tc>
          <w:tcPr>
            <w:tcW w:type="dxa" w:w="122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19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分；本批无 0 分记录</w:t>
            </w:r>
          </w:p>
        </w:tc>
      </w:tr>
      <w:tr>
        <w:trPr>
          <w:cantSplit/>
        </w:trPr>
        <w:tc>
          <w:tcPr>
            <w:tcW w:type="dxa" w:w="113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2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statistical_concepts</w:t>
            </w:r>
          </w:p>
        </w:tc>
        <w:tc>
          <w:tcPr>
            <w:tcW w:type="dxa" w:w="78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1.689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0.466</w:t>
            </w:r>
          </w:p>
        </w:tc>
        <w:tc>
          <w:tcPr>
            <w:tcW w:type="dxa" w:w="122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19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分；本批无 0 分记录</w:t>
            </w:r>
          </w:p>
        </w:tc>
      </w:tr>
      <w:tr>
        <w:trPr>
          <w:cantSplit/>
        </w:trPr>
        <w:tc>
          <w:tcPr>
            <w:tcW w:type="dxa" w:w="113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2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traceability</w:t>
            </w:r>
          </w:p>
        </w:tc>
        <w:tc>
          <w:tcPr>
            <w:tcW w:type="dxa" w:w="78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1.267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0.445</w:t>
            </w:r>
          </w:p>
        </w:tc>
        <w:tc>
          <w:tcPr>
            <w:tcW w:type="dxa" w:w="122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19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分；本批无 0 分记录</w:t>
            </w:r>
          </w:p>
        </w:tc>
      </w:tr>
      <w:tr>
        <w:trPr>
          <w:cantSplit/>
        </w:trPr>
        <w:tc>
          <w:tcPr>
            <w:tcW w:type="dxa" w:w="113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2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uncertainty</w:t>
            </w:r>
          </w:p>
        </w:tc>
        <w:tc>
          <w:tcPr>
            <w:tcW w:type="dxa" w:w="78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1.956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0.207</w:t>
            </w:r>
          </w:p>
        </w:tc>
        <w:tc>
          <w:tcPr>
            <w:tcW w:type="dxa" w:w="122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19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分；本批无 0 分记录</w:t>
            </w:r>
          </w:p>
        </w:tc>
      </w:tr>
      <w:tr>
        <w:trPr>
          <w:cantSplit/>
        </w:trPr>
        <w:tc>
          <w:tcPr>
            <w:tcW w:type="dxa" w:w="113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2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总体 0-2 评分</w:t>
            </w:r>
          </w:p>
        </w:tc>
        <w:tc>
          <w:tcPr>
            <w:tcW w:type="dxa" w:w="78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720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1.751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0.433</w:t>
            </w:r>
          </w:p>
        </w:tc>
        <w:tc>
          <w:tcPr>
            <w:tcW w:type="dxa" w:w="122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19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 人 × 30 案例 × 8 维度</w:t>
            </w:r>
          </w:p>
        </w:tc>
      </w:tr>
      <w:tr>
        <w:trPr>
          <w:cantSplit/>
        </w:trPr>
        <w:tc>
          <w:tcPr>
            <w:tcW w:type="dxa" w:w="113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2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case-dimension 一致性</w:t>
            </w:r>
          </w:p>
        </w:tc>
        <w:tc>
          <w:tcPr>
            <w:tcW w:type="dxa" w:w="78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240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22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93.8%</w:t>
            </w:r>
          </w:p>
        </w:tc>
        <w:tc>
          <w:tcPr>
            <w:tcW w:type="dxa" w:w="219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完全一致；相差不超过1分为100%</w:t>
            </w:r>
          </w:p>
        </w:tc>
      </w:tr>
      <w:tr>
        <w:trPr>
          <w:cantSplit/>
        </w:trPr>
        <w:tc>
          <w:tcPr>
            <w:tcW w:type="dxa" w:w="113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功能感知</w:t>
            </w:r>
          </w:p>
        </w:tc>
        <w:tc>
          <w:tcPr>
            <w:tcW w:type="dxa" w:w="22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运行并记录 R 代码</w:t>
            </w:r>
          </w:p>
        </w:tc>
        <w:tc>
          <w:tcPr>
            <w:tcW w:type="dxa" w:w="78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91.57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4.88</w:t>
            </w:r>
          </w:p>
        </w:tc>
        <w:tc>
          <w:tcPr>
            <w:tcW w:type="dxa" w:w="122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219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0-100 功能感知评分；1=有用，2=没用</w:t>
            </w:r>
          </w:p>
        </w:tc>
      </w:tr>
      <w:tr>
        <w:trPr>
          <w:cantSplit/>
        </w:trPr>
        <w:tc>
          <w:tcPr>
            <w:tcW w:type="dxa" w:w="113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功能感知</w:t>
            </w:r>
          </w:p>
        </w:tc>
        <w:tc>
          <w:tcPr>
            <w:tcW w:type="dxa" w:w="22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解释 R 生物信息学对象</w:t>
            </w:r>
          </w:p>
        </w:tc>
        <w:tc>
          <w:tcPr>
            <w:tcW w:type="dxa" w:w="78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91.00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5.87</w:t>
            </w:r>
          </w:p>
        </w:tc>
        <w:tc>
          <w:tcPr>
            <w:tcW w:type="dxa" w:w="122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93.3%</w:t>
            </w:r>
          </w:p>
        </w:tc>
        <w:tc>
          <w:tcPr>
            <w:tcW w:type="dxa" w:w="219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0-100 功能感知评分；1=有用，2=没用</w:t>
            </w:r>
          </w:p>
        </w:tc>
      </w:tr>
      <w:tr>
        <w:trPr>
          <w:cantSplit/>
        </w:trPr>
        <w:tc>
          <w:tcPr>
            <w:tcW w:type="dxa" w:w="113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功能感知</w:t>
            </w:r>
          </w:p>
        </w:tc>
        <w:tc>
          <w:tcPr>
            <w:tcW w:type="dxa" w:w="22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生成常用分析图形</w:t>
            </w:r>
          </w:p>
        </w:tc>
        <w:tc>
          <w:tcPr>
            <w:tcW w:type="dxa" w:w="78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93.03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4.47</w:t>
            </w:r>
          </w:p>
        </w:tc>
        <w:tc>
          <w:tcPr>
            <w:tcW w:type="dxa" w:w="122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219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0-100 功能感知评分；1=有用，2=没用</w:t>
            </w:r>
          </w:p>
        </w:tc>
      </w:tr>
      <w:tr>
        <w:trPr>
          <w:cantSplit/>
        </w:trPr>
        <w:tc>
          <w:tcPr>
            <w:tcW w:type="dxa" w:w="113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功能感知</w:t>
            </w:r>
          </w:p>
        </w:tc>
        <w:tc>
          <w:tcPr>
            <w:tcW w:type="dxa" w:w="22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证据与来源追踪</w:t>
            </w:r>
          </w:p>
        </w:tc>
        <w:tc>
          <w:tcPr>
            <w:tcW w:type="dxa" w:w="78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91.23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7.78</w:t>
            </w:r>
          </w:p>
        </w:tc>
        <w:tc>
          <w:tcPr>
            <w:tcW w:type="dxa" w:w="122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90.0%</w:t>
            </w:r>
          </w:p>
        </w:tc>
        <w:tc>
          <w:tcPr>
            <w:tcW w:type="dxa" w:w="219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0-100 功能感知评分；1=有用，2=没用</w:t>
            </w:r>
          </w:p>
        </w:tc>
      </w:tr>
      <w:tr>
        <w:trPr>
          <w:cantSplit/>
        </w:trPr>
        <w:tc>
          <w:tcPr>
            <w:tcW w:type="dxa" w:w="113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功能感知</w:t>
            </w:r>
          </w:p>
        </w:tc>
        <w:tc>
          <w:tcPr>
            <w:tcW w:type="dxa" w:w="22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生成分析报告</w:t>
            </w:r>
          </w:p>
        </w:tc>
        <w:tc>
          <w:tcPr>
            <w:tcW w:type="dxa" w:w="78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93.07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4.71</w:t>
            </w:r>
          </w:p>
        </w:tc>
        <w:tc>
          <w:tcPr>
            <w:tcW w:type="dxa" w:w="122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96.7%</w:t>
            </w:r>
          </w:p>
        </w:tc>
        <w:tc>
          <w:tcPr>
            <w:tcW w:type="dxa" w:w="219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0-100 功能感知评分；1=有用，2=没用</w:t>
            </w:r>
          </w:p>
        </w:tc>
      </w:tr>
      <w:tr>
        <w:trPr>
          <w:cantSplit/>
        </w:trPr>
        <w:tc>
          <w:tcPr>
            <w:tcW w:type="dxa" w:w="113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功能感知</w:t>
            </w:r>
          </w:p>
        </w:tc>
        <w:tc>
          <w:tcPr>
            <w:tcW w:type="dxa" w:w="227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全部功能</w:t>
            </w:r>
          </w:p>
        </w:tc>
        <w:tc>
          <w:tcPr>
            <w:tcW w:type="dxa" w:w="789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150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91.98</w:t>
            </w:r>
          </w:p>
        </w:tc>
        <w:tc>
          <w:tcPr>
            <w:tcW w:type="dxa" w:w="10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5.67</w:t>
            </w:r>
          </w:p>
        </w:tc>
        <w:tc>
          <w:tcPr>
            <w:tcW w:type="dxa" w:w="122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96.0%</w:t>
            </w:r>
          </w:p>
        </w:tc>
        <w:tc>
          <w:tcPr>
            <w:tcW w:type="dxa" w:w="219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0-100 功能感知评分；1=有用，2=没用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3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位外部评分者对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30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个去来源化解释案例的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8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个维度进行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0-2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评分；30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位评分参与者对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5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项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BioExplainR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功能进行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0-100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功能感知评分并判断是否有用。所有记录均来自外部填写表，无缺失。结果是描述性外部评价，不是随机对照实验、SUS、学习增益或临床效用评价。</w:t>
      </w:r>
    </w:p>
    <w:p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research/results/human_evaluation/expert_dimension_summary.csv；user_feature_summary.csv；expert_agreement_summary.csv；human_evaluation_manifest.json</w:t>
      </w:r>
    </w:p>
    <w:p>
      <w:pPr>
        <w:sectPr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2"/>
        <w:pageBreakBefore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个目标事实逐项主实验结果</w:t>
      </w:r>
    </w:p>
    <w:p>
      <w:pPr>
        <w:keepNext/>
      </w:pPr>
      <w:r>
        <w:rPr>
          <w:b/>
          <w:i w:val="0"/>
          <w:sz w:val="19"/>
        </w:rPr>
        <w:t>表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8.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480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个目标事实的逐项主实验结果</w:t>
      </w:r>
    </w:p>
    <w:tbl>
      <w:tblPr>
        <w:tblW w:type="dxa" w:w="14570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656"/>
        <w:gridCol w:w="1656"/>
        <w:gridCol w:w="1766"/>
        <w:gridCol w:w="2208"/>
        <w:gridCol w:w="1214"/>
        <w:gridCol w:w="1214"/>
        <w:gridCol w:w="1214"/>
        <w:gridCol w:w="1214"/>
        <w:gridCol w:w="1214"/>
        <w:gridCol w:w="1214"/>
      </w:tblGrid>
      <w:tr>
        <w:trPr>
          <w:cantSplit/>
          <w:tblHeader/>
        </w:trPr>
        <w:tc>
          <w:tcPr>
            <w:tcW w:type="dxa" w:w="165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案例</w:t>
            </w:r>
          </w:p>
        </w:tc>
        <w:tc>
          <w:tcPr>
            <w:tcW w:type="dxa" w:w="165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功能家族</w:t>
            </w:r>
          </w:p>
        </w:tc>
        <w:tc>
          <w:tcPr>
            <w:tcW w:type="dxa" w:w="176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事实路径</w:t>
            </w:r>
          </w:p>
        </w:tc>
        <w:tc>
          <w:tcPr>
            <w:tcW w:type="dxa" w:w="220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R 参考值</w:t>
            </w:r>
          </w:p>
        </w:tc>
        <w:tc>
          <w:tcPr>
            <w:tcW w:type="dxa" w:w="121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有界原始匹配</w:t>
            </w:r>
          </w:p>
        </w:tc>
        <w:tc>
          <w:tcPr>
            <w:tcW w:type="dxa" w:w="121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有界原始回答</w:t>
            </w:r>
          </w:p>
        </w:tc>
        <w:tc>
          <w:tcPr>
            <w:tcW w:type="dxa" w:w="121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R 事实摘要匹配</w:t>
            </w:r>
          </w:p>
        </w:tc>
        <w:tc>
          <w:tcPr>
            <w:tcW w:type="dxa" w:w="121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R 事实摘要回答</w:t>
            </w:r>
          </w:p>
        </w:tc>
        <w:tc>
          <w:tcPr>
            <w:tcW w:type="dxa" w:w="121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R 事实加证据匹配</w:t>
            </w:r>
          </w:p>
        </w:tc>
        <w:tc>
          <w:tcPr>
            <w:tcW w:type="dxa" w:w="121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R 事实加证据回答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n_cells_used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n_clusters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n_groups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n_cells_used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n_clusters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n_groups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n_cells_used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n_clusters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n_groups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n_cells_used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n_clusters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n_groups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n_cells_used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115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n_clusters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n_groups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n_cells_used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n_clusters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n_groups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n_cells_used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175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n_clusters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n_groups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n_cells_used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n_clusters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n_groups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n_cells_used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135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n_clusters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n_groups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n_cells_used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168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n_clusters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n_groups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n_cells_used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203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n_clusters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n_groups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n_cells_used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n_clusters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n_groups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n_cells_used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155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n_clusters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n_groups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n_cells_used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192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n_clusters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n_groups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n_cells_used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231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n_clusters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n_groups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cell_composition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de_019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de_029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de_030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n_down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de_030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de_030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de_030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differential_expression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n_up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enrichment_019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enrichment_020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enrichment_method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ORA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enrichment_020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n_significant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enrichment_020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n_terms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enrichment_020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enrichment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significance_threshold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class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data.frame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is_s4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FALSE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size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1.2 Kb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type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list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class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data.frame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is_s4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FALSE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size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1.4 Kb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type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list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class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data.frame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is_s4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FALSE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size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1.7 Kb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type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list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class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data.frame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is_s4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FALSE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size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1.9 Kb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type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list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class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data.frame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is_s4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FALSE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size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1.1 Kb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type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list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class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data.frame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is_s4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FALSE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size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1.3 Kb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type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list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class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data.frame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is_s4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FALSE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size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1.8 Kb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type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list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class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data.frame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is_s4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FALSE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size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 Kb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type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list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class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data.frame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is_s4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FALSE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size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2.3 Kb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type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list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class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data.frame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is_s4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FALSE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size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1.3 Kb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type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list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class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data.frame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is_s4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FALSE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size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1.6 Kb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type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list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class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data.frame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is_s4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FALSE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size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1.8 Kb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type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list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class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data.frame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is_s4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FALSE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size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 Kb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type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list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class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data.frame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is_s4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FALSE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size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2.3 Kb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type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list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class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data.frame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is_s4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FALSE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size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1.3 Kb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generic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type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list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0.271270133685751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0.249717355808251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0.277259874701818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0.172528149555537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0.260781512201158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0.166246019013179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0.245121217215335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0.201113866170813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0.296289717608507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0.222088758537468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0.283722090405908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0.206097381041989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0.244422709480074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0.226476774551318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0.252880016830299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0.206099902816845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0.200122869533719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0.155485671133068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0.314617546033524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0.211552620625017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0.230697768815697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0.212040347771989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0.224922549194911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0.188467356844414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0.227965316647256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0.201087337167717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0.238807096808874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0.155516026971229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0.287267658668306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0.245318405729936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0.235405205041443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0.198673977498071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0.219557783770627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0.174545355498716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0.215693523722486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0.157202319010703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0.177623213936533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pca_019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0.157195177500665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pca_020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n_observations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pca_020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n_variables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pca_020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variance_explained.1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0.256680530473456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pca_020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pca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variance_explained.2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0.190745971758128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single_cell_009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single_cell_011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37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single_cell_012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single_cell_013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39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single_cell_014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single_cell_015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single_cell_016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single_cell_017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66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single_cell_018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68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44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single_cell_019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single_cell_020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assays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counts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single_cell_020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n_cells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70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single_cell_020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n_features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single_cell_020</w:t>
            </w:r>
          </w:p>
        </w:tc>
        <w:tc>
          <w:tcPr>
            <w:tcW w:type="dxa" w:w="165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single_cell</w:t>
            </w:r>
          </w:p>
        </w:tc>
        <w:tc>
          <w:tcPr>
            <w:tcW w:type="dxa" w:w="176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n_samples</w:t>
            </w:r>
          </w:p>
        </w:tc>
        <w:tc>
          <w:tcPr>
            <w:tcW w:type="dxa" w:w="220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  <w:tc>
          <w:tcPr>
            <w:tcW w:type="dxa" w:w="121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3/3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本表列出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120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个可复现案例的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480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个唯一目标事实；每个方法实际重复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3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次。匹配和回答单元格为“次数/3”，分别表示严格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fact-path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与数值/字符串匹配次数、非空标量回答次数。该规模实验用于检验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BioExplainR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的输入契约、事实摘要和模型传递在不同对象家族下的稳定性；案例由包的确定性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adapter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从可复现对象生成，不是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480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个独立生物学样本，也不是模型泛化性能排名。</w:t>
      </w:r>
    </w:p>
    <w:p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research/results/main_scale_480/fact_scores.csv；reference_facts.json；case_manifest.csv；run_main_scale_experiment.R</w:t>
      </w:r>
    </w:p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  <w:pageBreakBefore/>
      </w:pPr>
      <w:r>
        <w:rPr>
          <w:b w:val="0"/>
          <w:i w:val="0"/>
        </w:rPr>
        <w:t>附录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B：补充图表与材料索引</w:t>
      </w:r>
    </w:p>
    <w:p>
      <w:pPr>
        <w:pStyle w:val="Heading2"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工作台记录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_workben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/>
          <w:i w:val="0"/>
          <w:sz w:val="19"/>
        </w:rPr>
        <w:t>补充图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S1.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自动浏览器测试中的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Shiny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工作台记录。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(A)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模型设置和语言控制；(B)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图形生成与保存；(C)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对象分析、事实和验证状态；(D)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自动化步骤概览。详细步骤与断言见</w:t>
      </w:r>
      <w:r>
        <w:rPr>
          <w:b w:val="0"/>
          <w:i w:val="0"/>
          <w:sz w:val="19"/>
        </w:rPr>
        <w:t xml:space="preserve"> </w:t>
      </w:r>
      <w:r>
        <w:rPr>
          <w:rFonts w:ascii="DejaVu Sans Mono" w:hAnsi="DejaVu Sans Mono"/>
          <w:b w:val="0"/>
          <w:i w:val="0"/>
          <w:sz w:val="19"/>
        </w:rPr>
        <w:t>research/results/browser/summary.json</w:t>
      </w:r>
      <w:r>
        <w:rPr>
          <w:b w:val="0"/>
          <w:i w:val="0"/>
          <w:sz w:val="19"/>
        </w:rPr>
        <w:t>。图是工作流记录，不是用户研究、专家视觉评分或对所有页面可用性的认证。</w:t>
      </w:r>
    </w:p>
    <w:p>
      <w:pPr>
        <w:pStyle w:val="Heading2"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48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2_pasil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/>
          <w:i w:val="0"/>
          <w:sz w:val="19"/>
        </w:rPr>
        <w:t>补充图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S2.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独立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pasilla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基准。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(A)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VST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表达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PCA；(B)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DESeq2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treated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vs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untreated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火山图；(C)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P</w:t>
      </w:r>
      <w:r>
        <w:rPr>
          <w:b w:val="0"/>
          <w:i w:val="0"/>
          <w:sz w:val="19"/>
          <w:vertAlign w:val="subscript"/>
        </w:rPr>
        <w:t>adj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&lt;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0.05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且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|log2FC|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&gt;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1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下的计数；(D)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阈值敏感性。图用于独立事实核对和工作流展示，不作为新的生物学结论。</w:t>
      </w:r>
    </w:p>
    <w:p>
      <w:pPr>
        <w:pStyle w:val="Heading2"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外部评分者与功能感知评价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48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3_human_evalu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/>
          <w:i w:val="0"/>
          <w:sz w:val="19"/>
        </w:rPr>
        <w:t>补充图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S3.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外部评分者与功能感知评价的聚合结果。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(A)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外部评分维度；(B)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case-dimension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一致性；(C)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功能评分；(D)</w:t>
      </w:r>
      <w:r>
        <w:rPr>
          <w:b w:val="0"/>
          <w:i w:val="0"/>
          <w:sz w:val="19"/>
        </w:rPr>
        <w:t xml:space="preserve"> </w:t>
      </w:r>
      <w:r>
        <w:rPr>
          <w:b w:val="0"/>
          <w:i w:val="0"/>
          <w:sz w:val="19"/>
        </w:rPr>
        <w:t>有用比例。图仅展示聚合描述统计，不替代正式用户研究。</w:t>
      </w:r>
    </w:p>
    <w:p>
      <w:pPr>
        <w:pStyle w:val="Heading2"/>
        <w:pageBreakBefore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主实验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与估算成本</w:t>
      </w:r>
    </w:p>
    <w:p>
      <w:pPr>
        <w:keepNext/>
      </w:pPr>
      <w:r>
        <w:rPr>
          <w:b/>
          <w:i w:val="0"/>
          <w:sz w:val="19"/>
        </w:rPr>
        <w:t>补充表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S1.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规模主实验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tokens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与估算成本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928"/>
        <w:gridCol w:w="1474"/>
        <w:gridCol w:w="1191"/>
        <w:gridCol w:w="1587"/>
        <w:gridCol w:w="1587"/>
        <w:gridCol w:w="1531"/>
      </w:tblGrid>
      <w:tr>
        <w:trPr>
          <w:cantSplit/>
          <w:tblHeader/>
        </w:trPr>
        <w:tc>
          <w:tcPr>
            <w:tcW w:type="dxa" w:w="192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type="dxa" w:w="147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引用 ID 次数</w:t>
            </w:r>
          </w:p>
        </w:tc>
        <w:tc>
          <w:tcPr>
            <w:tcW w:type="dxa" w:w="119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未知引用</w:t>
            </w:r>
          </w:p>
        </w:tc>
        <w:tc>
          <w:tcPr>
            <w:tcW w:type="dxa" w:w="158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输入 tokens</w:t>
            </w:r>
          </w:p>
        </w:tc>
        <w:tc>
          <w:tcPr>
            <w:tcW w:type="dxa" w:w="158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输出 tokens</w:t>
            </w:r>
          </w:p>
        </w:tc>
        <w:tc>
          <w:tcPr>
            <w:tcW w:type="dxa" w:w="153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估算 USD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有界原始输出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708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708</w:t>
            </w:r>
          </w:p>
        </w:tc>
        <w:tc>
          <w:tcPr>
            <w:tcW w:type="dxa" w:w="158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190305</w:t>
            </w:r>
          </w:p>
        </w:tc>
        <w:tc>
          <w:tcPr>
            <w:tcW w:type="dxa" w:w="158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167277</w:t>
            </w:r>
          </w:p>
        </w:tc>
        <w:tc>
          <w:tcPr>
            <w:tcW w:type="dxa" w:w="15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0.128912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 事实摘要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58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445731</w:t>
            </w:r>
          </w:p>
        </w:tc>
        <w:tc>
          <w:tcPr>
            <w:tcW w:type="dxa" w:w="158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203194</w:t>
            </w:r>
          </w:p>
        </w:tc>
        <w:tc>
          <w:tcPr>
            <w:tcW w:type="dxa" w:w="15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0.188776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 事实加证据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358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58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498651</w:t>
            </w:r>
          </w:p>
        </w:tc>
        <w:tc>
          <w:tcPr>
            <w:tcW w:type="dxa" w:w="158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223801</w:t>
            </w:r>
          </w:p>
        </w:tc>
        <w:tc>
          <w:tcPr>
            <w:tcW w:type="dxa" w:w="153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0.209078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规模主实验每种方法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360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次请求；tokens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来自保存的调用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usage。估算按非缓存输入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0.15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美元/百万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tokens、输出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0.60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美元/百万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tokens计算，不是账单，也不包含历史预实验、浏览器或双模型共同任务；缓存折扣可能降低实际价格。</w:t>
      </w:r>
    </w:p>
    <w:p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research/results/main_scale_480/model_calls.csv；ablation_summary.csv；原始响应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usage</w:t>
      </w:r>
    </w:p>
    <w:p>
      <w:pPr>
        <w:pStyle w:val="Heading2"/>
        <w:pageBreakBefore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S2-S5</w:t>
      </w:r>
    </w:p>
    <w:p>
      <w:pPr>
        <w:keepNext/>
      </w:pPr>
      <w:r>
        <w:rPr>
          <w:b/>
          <w:i w:val="0"/>
          <w:sz w:val="19"/>
        </w:rPr>
        <w:t>补充表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S2.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相近工具入口与独立数据基准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928"/>
        <w:gridCol w:w="1191"/>
        <w:gridCol w:w="3005"/>
        <w:gridCol w:w="1247"/>
        <w:gridCol w:w="2268"/>
      </w:tblGrid>
      <w:tr>
        <w:trPr>
          <w:cantSplit/>
          <w:tblHeader/>
        </w:trPr>
        <w:tc>
          <w:tcPr>
            <w:tcW w:type="dxa" w:w="192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工具/组件</w:t>
            </w:r>
          </w:p>
        </w:tc>
        <w:tc>
          <w:tcPr>
            <w:tcW w:type="dxa" w:w="119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type="dxa" w:w="3005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实际任务</w:t>
            </w:r>
          </w:p>
        </w:tc>
        <w:tc>
          <w:tcPr>
            <w:tcW w:type="dxa" w:w="124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226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保存证据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iSEE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2.14.0</w:t>
            </w:r>
          </w:p>
        </w:tc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真实 PBMC3k SCE 初始化、UMAP/QC 面板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related_tool_tests.csv；iSEE_browser.json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GPTCelltype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1.0.1</w:t>
            </w:r>
          </w:p>
        </w:tc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真实 PBMC3k marker 表生成 3 个 cluster 的提示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gptcelltype_prompt.json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ellmer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0.5.0</w:t>
            </w:r>
          </w:p>
        </w:tc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 个保存 prompt 的本地 OpenAI-compatible replay；与 BioExplainR 各 6 次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pass（12/12）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transport_replay.csv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btw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未安装</w:t>
            </w:r>
          </w:p>
        </w:tc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安装尝试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not_installed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final_install_status.csv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BioExplainR + DESeq2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0.3.1 / 1.42.0</w:t>
            </w:r>
          </w:p>
        </w:tc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独立 pasilla counts、DESeq2 结果和事实提取</w:t>
            </w:r>
          </w:p>
        </w:tc>
        <w:tc>
          <w:tcPr>
            <w:tcW w:type="dxa" w:w="124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pass（30/30）</w:t>
            </w:r>
          </w:p>
        </w:tc>
        <w:tc>
          <w:tcPr>
            <w:tcW w:type="dxa" w:w="226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pasilla_test.json；pasilla_fact_checks.csv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这些是各工具自身入口或协议的实际兼容性测试，不是共同任务性能排名。GPTCelltype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未提供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API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key，因此只评价真实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marker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输入到提示构建；ellmer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是保存响应的本地协议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replay，不是在线模型推理；btw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未安装，未纳入性能比较。</w:t>
      </w:r>
    </w:p>
    <w:p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research/results/related_tools/related_tool_tests.csv；transport_replay.csv；final_install_status.csv；pasilla_test.json；iSEE_browser.json</w:t>
      </w:r>
    </w:p>
    <w:p>
      <w:pPr>
        <w:keepNext/>
      </w:pPr>
      <w:r>
        <w:rPr>
          <w:b/>
          <w:i w:val="0"/>
          <w:sz w:val="19"/>
        </w:rPr>
        <w:t>补充表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S3.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pasilla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独立数据的阈值事实核对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263"/>
        <w:gridCol w:w="1404"/>
        <w:gridCol w:w="1170"/>
        <w:gridCol w:w="1170"/>
        <w:gridCol w:w="1076"/>
        <w:gridCol w:w="1076"/>
        <w:gridCol w:w="1310"/>
        <w:gridCol w:w="1170"/>
      </w:tblGrid>
      <w:tr>
        <w:trPr>
          <w:cantSplit/>
          <w:tblHeader/>
        </w:trPr>
        <w:tc>
          <w:tcPr>
            <w:tcW w:type="dxa" w:w="1263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P_adj 阈值</w:t>
            </w:r>
          </w:p>
        </w:tc>
        <w:tc>
          <w:tcPr>
            <w:tcW w:type="dxa" w:w="140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|log2FC| 阈值</w:t>
            </w:r>
          </w:p>
        </w:tc>
        <w:tc>
          <w:tcPr>
            <w:tcW w:type="dxa" w:w="1170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特征数</w:t>
            </w:r>
          </w:p>
        </w:tc>
        <w:tc>
          <w:tcPr>
            <w:tcW w:type="dxa" w:w="1170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显著数</w:t>
            </w:r>
          </w:p>
        </w:tc>
        <w:tc>
          <w:tcPr>
            <w:tcW w:type="dxa" w:w="107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上调</w:t>
            </w:r>
          </w:p>
        </w:tc>
        <w:tc>
          <w:tcPr>
            <w:tcW w:type="dxa" w:w="107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下调</w:t>
            </w:r>
          </w:p>
        </w:tc>
        <w:tc>
          <w:tcPr>
            <w:tcW w:type="dxa" w:w="1310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P_adj 缺失</w:t>
            </w:r>
          </w:p>
        </w:tc>
        <w:tc>
          <w:tcPr>
            <w:tcW w:type="dxa" w:w="1170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全部核对</w:t>
            </w:r>
          </w:p>
        </w:tc>
      </w:tr>
      <w:tr>
        <w:trPr>
          <w:cantSplit/>
        </w:trPr>
        <w:tc>
          <w:tcPr>
            <w:tcW w:type="dxa" w:w="126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0.01</w:t>
            </w:r>
          </w:p>
        </w:tc>
        <w:tc>
          <w:tcPr>
            <w:tcW w:type="dxa" w:w="14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14599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731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328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403</w:t>
            </w:r>
          </w:p>
        </w:tc>
        <w:tc>
          <w:tcPr>
            <w:tcW w:type="dxa" w:w="131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5800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26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0.01</w:t>
            </w:r>
          </w:p>
        </w:tc>
        <w:tc>
          <w:tcPr>
            <w:tcW w:type="dxa" w:w="14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14599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181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89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92</w:t>
            </w:r>
          </w:p>
        </w:tc>
        <w:tc>
          <w:tcPr>
            <w:tcW w:type="dxa" w:w="131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5800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26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4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14599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1068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481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587</w:t>
            </w:r>
          </w:p>
        </w:tc>
        <w:tc>
          <w:tcPr>
            <w:tcW w:type="dxa" w:w="131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5800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26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0.05</w:t>
            </w:r>
          </w:p>
        </w:tc>
        <w:tc>
          <w:tcPr>
            <w:tcW w:type="dxa" w:w="14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14599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218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108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110</w:t>
            </w:r>
          </w:p>
        </w:tc>
        <w:tc>
          <w:tcPr>
            <w:tcW w:type="dxa" w:w="131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5800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26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0.10</w:t>
            </w:r>
          </w:p>
        </w:tc>
        <w:tc>
          <w:tcPr>
            <w:tcW w:type="dxa" w:w="14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14599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1330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613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717</w:t>
            </w:r>
          </w:p>
        </w:tc>
        <w:tc>
          <w:tcPr>
            <w:tcW w:type="dxa" w:w="131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5800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1263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0.10</w:t>
            </w:r>
          </w:p>
        </w:tc>
        <w:tc>
          <w:tcPr>
            <w:tcW w:type="dxa" w:w="140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14599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244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125</w:t>
            </w:r>
          </w:p>
        </w:tc>
        <w:tc>
          <w:tcPr>
            <w:tcW w:type="dxa" w:w="10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119</w:t>
            </w:r>
          </w:p>
        </w:tc>
        <w:tc>
          <w:tcPr>
            <w:tcW w:type="dxa" w:w="131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5800</w:t>
            </w:r>
          </w:p>
        </w:tc>
        <w:tc>
          <w:tcPr>
            <w:tcW w:type="dxa" w:w="117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pass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pasilla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1.30.0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归档包含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14,599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个特征和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7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个文库；DESeq2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设计为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~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type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+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condition，比较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treated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vs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untreated。每一行将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BioExplainR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从真实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DESeqResults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提取的事实与直接源表计算结果逐项比较；6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个阈值组合、每组合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5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个事实，共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30/30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匹配。P</w:t>
      </w:r>
      <w:r>
        <w:rPr>
          <w:b w:val="0"/>
          <w:i w:val="0"/>
          <w:sz w:val="18"/>
          <w:vertAlign w:val="subscript"/>
        </w:rPr>
        <w:t>adj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缺失值来自保存的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DESeq2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结果，不等于没有原始检验。</w:t>
      </w:r>
    </w:p>
    <w:p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research/results/related_tools/pasilla_fact_checks.csv；pasilla_test.json；pasilla_1.30.0.tar.gz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的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SHA-256</w:t>
      </w:r>
    </w:p>
    <w:p>
      <w:pPr>
        <w:keepNext/>
      </w:pPr>
      <w:r>
        <w:rPr>
          <w:b/>
          <w:i w:val="0"/>
          <w:sz w:val="19"/>
        </w:rPr>
        <w:t>补充表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S4.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双模型规模共同任务结果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341"/>
        <w:gridCol w:w="1676"/>
        <w:gridCol w:w="838"/>
        <w:gridCol w:w="838"/>
        <w:gridCol w:w="922"/>
        <w:gridCol w:w="964"/>
        <w:gridCol w:w="964"/>
        <w:gridCol w:w="2095"/>
      </w:tblGrid>
      <w:tr>
        <w:trPr>
          <w:cantSplit/>
          <w:tblHeader/>
        </w:trPr>
        <w:tc>
          <w:tcPr>
            <w:tcW w:type="dxa" w:w="134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type="dxa" w:w="167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输入/协议</w:t>
            </w:r>
          </w:p>
        </w:tc>
        <w:tc>
          <w:tcPr>
            <w:tcW w:type="dxa" w:w="83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目标事实</w:t>
            </w:r>
          </w:p>
        </w:tc>
        <w:tc>
          <w:tcPr>
            <w:tcW w:type="dxa" w:w="83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正确</w:t>
            </w:r>
          </w:p>
        </w:tc>
        <w:tc>
          <w:tcPr>
            <w:tcW w:type="dxa" w:w="922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已回答</w:t>
            </w:r>
          </w:p>
        </w:tc>
        <w:tc>
          <w:tcPr>
            <w:tcW w:type="dxa" w:w="96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匹配率</w:t>
            </w:r>
          </w:p>
        </w:tc>
        <w:tc>
          <w:tcPr>
            <w:tcW w:type="dxa" w:w="96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覆盖率</w:t>
            </w:r>
          </w:p>
        </w:tc>
        <w:tc>
          <w:tcPr>
            <w:tcW w:type="dxa" w:w="2095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34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StepFun step-5-preview</w:t>
            </w:r>
          </w:p>
        </w:tc>
        <w:tc>
          <w:tcPr>
            <w:tcW w:type="dxa" w:w="16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OpenAI-compatible; response_format disabled</w:t>
            </w:r>
          </w:p>
        </w:tc>
        <w:tc>
          <w:tcPr>
            <w:tcW w:type="dxa" w:w="83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480</w:t>
            </w:r>
          </w:p>
        </w:tc>
        <w:tc>
          <w:tcPr>
            <w:tcW w:type="dxa" w:w="83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480</w:t>
            </w:r>
          </w:p>
        </w:tc>
        <w:tc>
          <w:tcPr>
            <w:tcW w:type="dxa" w:w="92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480</w:t>
            </w:r>
          </w:p>
        </w:tc>
        <w:tc>
          <w:tcPr>
            <w:tcW w:type="dxa" w:w="96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96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209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120 个案例、480 个目标事实；完整小数提示修复后评分</w:t>
            </w:r>
          </w:p>
        </w:tc>
      </w:tr>
      <w:tr>
        <w:trPr>
          <w:cantSplit/>
        </w:trPr>
        <w:tc>
          <w:tcPr>
            <w:tcW w:type="dxa" w:w="134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DeepSeek deepseek-flash</w:t>
            </w:r>
          </w:p>
        </w:tc>
        <w:tc>
          <w:tcPr>
            <w:tcW w:type="dxa" w:w="1676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OpenAI-compatible; response_format disabled</w:t>
            </w:r>
          </w:p>
        </w:tc>
        <w:tc>
          <w:tcPr>
            <w:tcW w:type="dxa" w:w="83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480</w:t>
            </w:r>
          </w:p>
        </w:tc>
        <w:tc>
          <w:tcPr>
            <w:tcW w:type="dxa" w:w="83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480</w:t>
            </w:r>
          </w:p>
        </w:tc>
        <w:tc>
          <w:tcPr>
            <w:tcW w:type="dxa" w:w="922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480</w:t>
            </w:r>
          </w:p>
        </w:tc>
        <w:tc>
          <w:tcPr>
            <w:tcW w:type="dxa" w:w="96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96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209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120 个案例、480 个目标事实；完整小数提示修复后评分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两个在线模型各处理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120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个可复现案例、480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个预定义标量事实，各运行一次；输入包含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计算事实，因此这是结构化事实传递和协议适配的机制性比较，不是泛化性能排名。正确/目标为严格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fact-path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与数值匹配；已回答为非空标量声明；覆盖率为已回答/目标。StepFun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与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DeepSeek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均为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480/480，提示要求保留完整小数精度。StepFun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使用关闭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response_format=json_object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的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OpenAI-compatible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请求。</w:t>
      </w:r>
    </w:p>
    <w:p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research/results/common_task_scale_480/common_task_summary.csv；common_task_calls.csv；common_task_manifest.json；脱敏响应记录</w:t>
      </w:r>
    </w:p>
    <w:p>
      <w:pPr>
        <w:keepNext/>
      </w:pPr>
      <w:r>
        <w:rPr>
          <w:b/>
          <w:i w:val="0"/>
          <w:sz w:val="19"/>
        </w:rPr>
        <w:t>补充表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S5.</w:t>
      </w:r>
      <w:r>
        <w:rPr>
          <w:b/>
          <w:i w:val="0"/>
          <w:sz w:val="19"/>
        </w:rPr>
        <w:t xml:space="preserve"> </w:t>
      </w:r>
      <w:r>
        <w:rPr>
          <w:b/>
          <w:i w:val="0"/>
          <w:sz w:val="19"/>
        </w:rPr>
        <w:t>外部评分者与功能感知评价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025"/>
        <w:gridCol w:w="2051"/>
        <w:gridCol w:w="820"/>
        <w:gridCol w:w="1025"/>
        <w:gridCol w:w="1025"/>
        <w:gridCol w:w="1230"/>
        <w:gridCol w:w="2461"/>
      </w:tblGrid>
      <w:tr>
        <w:trPr>
          <w:cantSplit/>
          <w:tblHeader/>
        </w:trPr>
        <w:tc>
          <w:tcPr>
            <w:tcW w:type="dxa" w:w="1025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部分</w:t>
            </w:r>
          </w:p>
        </w:tc>
        <w:tc>
          <w:tcPr>
            <w:tcW w:type="dxa" w:w="205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对象/维度</w:t>
            </w:r>
          </w:p>
        </w:tc>
        <w:tc>
          <w:tcPr>
            <w:tcW w:type="dxa" w:w="820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type="dxa" w:w="1025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均值</w:t>
            </w:r>
          </w:p>
        </w:tc>
        <w:tc>
          <w:tcPr>
            <w:tcW w:type="dxa" w:w="1025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标准差</w:t>
            </w:r>
          </w:p>
        </w:tc>
        <w:tc>
          <w:tcPr>
            <w:tcW w:type="dxa" w:w="1230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有用/一致比例</w:t>
            </w:r>
          </w:p>
        </w:tc>
        <w:tc>
          <w:tcPr>
            <w:tcW w:type="dxa" w:w="246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biological_support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1.733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0.445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分；3 位外部评分者；30 个匿名案例；本批无 0 分记录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error_localization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1.933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0.251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分；3 位外部评分者；30 个匿名案例；本批无 0 分记录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numeric_accuracy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1.756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0.432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分；3 位外部评分者；30 个匿名案例；本批无 0 分记录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readability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1.956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0.207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分；3 位外部评分者；30 个匿名案例；本批无 0 分记录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semantic_preservation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1.722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0.450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分；3 位外部评分者；30 个匿名案例；本批无 0 分记录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statistical_concepts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1.689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0.466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分；3 位外部评分者；30 个匿名案例；本批无 0 分记录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traceability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1.267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0.445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分；3 位外部评分者；30 个匿名案例；本批无 0 分记录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uncertainty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1.956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0.207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分；3 位外部评分者；30 个匿名案例；本批无 0 分记录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外部评分者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overall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1.751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0.433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93.8%</w:t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允许 0-2 分；3 位外部评分者；30 个匿名案例；本批无 0 分记录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功能感知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运行并记录 R 代码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91.57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4.88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0-100 功能感知评分；1=有用，2=没用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功能感知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解释 R 生物信息学对象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91.00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5.87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93.3%</w:t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0-100 功能感知评分；1=有用，2=没用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功能感知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生成常用分析图形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93.03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4.47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100.0%</w:t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0-100 功能感知评分；1=有用，2=没用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功能感知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证据与来源追踪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91.23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7.78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90.0%</w:t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0-100 功能感知评分；1=有用，2=没用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功能感知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生成分析报告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93.07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4.71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96.7%</w:t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0-100 功能感知评分；1=有用，2=没用</w:t>
            </w:r>
          </w:p>
        </w:tc>
      </w:tr>
      <w:tr>
        <w:trPr>
          <w:cantSplit/>
        </w:trPr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功能感知</w:t>
            </w:r>
          </w:p>
        </w:tc>
        <w:tc>
          <w:tcPr>
            <w:tcW w:type="dxa" w:w="20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全部功能</w:t>
            </w:r>
          </w:p>
        </w:tc>
        <w:tc>
          <w:tcPr>
            <w:tcW w:type="dxa" w:w="82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150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91.98</w:t>
            </w:r>
          </w:p>
        </w:tc>
        <w:tc>
          <w:tcPr>
            <w:tcW w:type="dxa" w:w="102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5.67</w:t>
            </w:r>
          </w:p>
        </w:tc>
        <w:tc>
          <w:tcPr>
            <w:tcW w:type="dxa" w:w="1230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96.0%</w:t>
            </w:r>
          </w:p>
        </w:tc>
        <w:tc>
          <w:tcPr>
            <w:tcW w:type="dxa" w:w="246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0-100 功能感知评分；1=有用，2=没用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3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位外部评分者对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30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个去来源化解释案例、8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个维度进行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0-2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评分，共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720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条，无缺失；均值为评分者×案例的描述性汇总，case-dimension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完全一致率为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93.75%，相差不超过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分的比例为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100%。30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位评分参与者对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5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项功能进行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0-100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功能感知评分和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1=有用/2=没用判断，共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150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条，无缺失；这些是描述性功能感知结果，不是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SUS、学习增益、临床效用或随机对照实验。</w:t>
      </w:r>
    </w:p>
    <w:p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research/results/human_evaluation/expert_dimension_summary.csv；user_feature_summary.csv；expert_agreement_summary.csv；human_evaluation_manifest.json</w:t>
      </w:r>
    </w:p>
    <w:p>
      <w:r>
        <w:rPr>
          <w:b/>
          <w:i w:val="0"/>
        </w:rPr>
        <w:t>补充材料索引。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独立文件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BioExplainR-supplementary.docx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包含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数据/版本与复现、S2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相近工具和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pasilla、S3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消融与原始记录、S3b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双模型与代码代理共同任务、S4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预实验迭代、S5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外部评分者与功能感知评价、S6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数值通过的语义负例、S7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机制挑战与浏览器记录、S8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投稿信息缺口。</w:t>
      </w:r>
      <w:r>
        <w:rPr>
          <w:rFonts w:ascii="DejaVu Sans Mono" w:hAnsi="DejaVu Sans Mono"/>
          <w:b w:val="0"/>
          <w:i w:val="0"/>
          <w:sz w:val="18"/>
        </w:rPr>
        <w:t>supplementary_records.zip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保留原始提示/响应、CSV、清单和截图，提供逐文件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清单；大型原始数据缓存不嵌入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Word。附件图表文件与索引见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submission_assets/README.md</w:t>
      </w:r>
      <w:r>
        <w:rPr>
          <w:b w:val="0"/>
          <w:i w:val="0"/>
        </w:rPr>
        <w:t>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Noto Sans CJK SC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</w:pPr>
    <w:rPr>
      <w:rFonts w:ascii="Calibri" w:hAnsi="Calibri" w:eastAsia="Noto Sans CJK SC"/>
      <w:b/>
      <w:bCs/>
      <w:color w:val="2020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Calibri" w:hAnsi="Calibri" w:eastAsia="Noto Sans CJK SC"/>
      <w:b/>
      <w:bCs/>
      <w:color w:val="20202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Calibri" w:hAnsi="Calibri" w:eastAsia="Noto Sans CJK SC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="Calibri" w:hAnsi="Calibri" w:eastAsia="Noto Sans CJK SC"/>
      <w:color w:val="20202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Calibri" w:hAnsi="Calibri" w:eastAsia="Noto Sans CJK SC"/>
      <w:i/>
      <w:iCs/>
      <w:color w:val="2020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