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color w:val="1F4E78"/>
          <w:sz w:val="50"/>
        </w:rPr>
        <w:t>面向生物信息学学习者的</w:t>
        <w:br/>
        <w:t>多分析结果解释与 R 代码错误诊断工具</w:t>
      </w:r>
    </w:p>
    <w:p>
      <w:pPr>
        <w:pStyle w:val="ReportSubtitle"/>
      </w:pPr>
      <w:r>
        <w:t>相关文献、必要性、创新性与技术路线论证报告</w:t>
      </w:r>
    </w:p>
    <w:p>
      <w:pPr>
        <w:spacing w:before="480"/>
        <w:jc w:val="center"/>
      </w:pPr>
      <w:r>
        <w:rPr>
          <w:rFonts w:ascii="Noto Sans CJK SC" w:hAnsi="Noto Sans CJK SC" w:eastAsia="Noto Sans CJK SC"/>
          <w:color w:val="3F4E5E"/>
          <w:sz w:val="22"/>
        </w:rPr>
        <w:t>覆盖：单细胞 · 差异表达 · bulk RNA-seq · 富集分析 · 图表解释 · 错误诊断</w:t>
      </w:r>
    </w:p>
    <w:p>
      <w:pPr>
        <w:spacing w:before="2600"/>
        <w:jc w:val="center"/>
      </w:pPr>
      <w:r>
        <w:rPr>
          <w:rFonts w:ascii="Noto Sans CJK SC" w:hAnsi="Noto Sans CJK SC" w:eastAsia="Noto Sans CJK SC"/>
          <w:color w:val="6B7280"/>
          <w:sz w:val="20"/>
        </w:rPr>
        <w:t>检索与整理日期：2026 年 10 月 3 日</w:t>
      </w:r>
    </w:p>
    <w:p>
      <w:pPr>
        <w:jc w:val="center"/>
      </w:pPr>
      <w:r>
        <w:rPr>
          <w:rFonts w:ascii="Noto Sans CJK SC" w:hAnsi="Noto Sans CJK SC" w:eastAsia="Noto Sans CJK SC"/>
          <w:color w:val="6B7280"/>
          <w:sz w:val="20"/>
        </w:rPr>
        <w:t>用途：项目立项、开题论证、软件原型设计与论文选题</w:t>
      </w:r>
    </w:p>
    <w:p>
      <w:r>
        <w:br w:type="page"/>
      </w:r>
    </w:p>
    <w:p>
      <w:pPr>
        <w:pStyle w:val="Heading1"/>
        <w:keepNext/>
      </w:pPr>
      <w:r>
        <w:t>目录</w:t>
      </w:r>
    </w:p>
    <w:p>
      <w:pPr>
        <w:spacing w:after="60"/>
        <w:ind w:left="360"/>
      </w:pPr>
      <w:r>
        <w:rPr>
          <w:rFonts w:ascii="Noto Sans CJK SC" w:hAnsi="Noto Sans CJK SC" w:eastAsia="Noto Sans CJK SC"/>
          <w:sz w:val="21"/>
        </w:rPr>
        <w:t>一、执行摘要</w:t>
      </w:r>
    </w:p>
    <w:p>
      <w:pPr>
        <w:spacing w:after="60"/>
        <w:ind w:left="360"/>
      </w:pPr>
      <w:r>
        <w:rPr>
          <w:rFonts w:ascii="Noto Sans CJK SC" w:hAnsi="Noto Sans CJK SC" w:eastAsia="Noto Sans CJK SC"/>
          <w:sz w:val="21"/>
        </w:rPr>
        <w:t>二、构想定义与问题边界</w:t>
      </w:r>
    </w:p>
    <w:p>
      <w:pPr>
        <w:spacing w:after="60"/>
        <w:ind w:left="360"/>
      </w:pPr>
      <w:r>
        <w:rPr>
          <w:rFonts w:ascii="Noto Sans CJK SC" w:hAnsi="Noto Sans CJK SC" w:eastAsia="Noto Sans CJK SC"/>
          <w:sz w:val="21"/>
        </w:rPr>
        <w:t>三、检索范围与判断方法</w:t>
      </w:r>
    </w:p>
    <w:p>
      <w:pPr>
        <w:spacing w:after="60"/>
        <w:ind w:left="360"/>
      </w:pPr>
      <w:r>
        <w:rPr>
          <w:rFonts w:ascii="Noto Sans CJK SC" w:hAnsi="Noto Sans CJK SC" w:eastAsia="Noto Sans CJK SC"/>
          <w:sz w:val="21"/>
        </w:rPr>
        <w:t>四、相关文献与相近工具</w:t>
      </w:r>
    </w:p>
    <w:p>
      <w:pPr>
        <w:spacing w:after="60"/>
        <w:ind w:left="360"/>
      </w:pPr>
      <w:r>
        <w:rPr>
          <w:rFonts w:ascii="Noto Sans CJK SC" w:hAnsi="Noto Sans CJK SC" w:eastAsia="Noto Sans CJK SC"/>
          <w:sz w:val="21"/>
        </w:rPr>
        <w:t>五、与你的方案的重合度分析</w:t>
      </w:r>
    </w:p>
    <w:p>
      <w:pPr>
        <w:spacing w:after="60"/>
        <w:ind w:left="360"/>
      </w:pPr>
      <w:r>
        <w:rPr>
          <w:rFonts w:ascii="Noto Sans CJK SC" w:hAnsi="Noto Sans CJK SC" w:eastAsia="Noto Sans CJK SC"/>
          <w:sz w:val="21"/>
        </w:rPr>
        <w:t>六、必要性与创新性判断</w:t>
      </w:r>
    </w:p>
    <w:p>
      <w:pPr>
        <w:spacing w:after="60"/>
        <w:ind w:left="360"/>
      </w:pPr>
      <w:r>
        <w:rPr>
          <w:rFonts w:ascii="Noto Sans CJK SC" w:hAnsi="Noto Sans CJK SC" w:eastAsia="Noto Sans CJK SC"/>
          <w:sz w:val="21"/>
        </w:rPr>
        <w:t>七、建议的产品定位</w:t>
      </w:r>
    </w:p>
    <w:p>
      <w:pPr>
        <w:spacing w:after="60"/>
        <w:ind w:left="360"/>
      </w:pPr>
      <w:r>
        <w:rPr>
          <w:rFonts w:ascii="Noto Sans CJK SC" w:hAnsi="Noto Sans CJK SC" w:eastAsia="Noto Sans CJK SC"/>
          <w:sz w:val="21"/>
        </w:rPr>
        <w:t>八、技术架构与核心模块</w:t>
      </w:r>
    </w:p>
    <w:p>
      <w:pPr>
        <w:spacing w:after="60"/>
        <w:ind w:left="360"/>
      </w:pPr>
      <w:r>
        <w:rPr>
          <w:rFonts w:ascii="Noto Sans CJK SC" w:hAnsi="Noto Sans CJK SC" w:eastAsia="Noto Sans CJK SC"/>
          <w:sz w:val="21"/>
        </w:rPr>
        <w:t>九、R 对象读取与运行错误诊断设计</w:t>
      </w:r>
    </w:p>
    <w:p>
      <w:pPr>
        <w:spacing w:after="60"/>
        <w:ind w:left="360"/>
      </w:pPr>
      <w:r>
        <w:rPr>
          <w:rFonts w:ascii="Noto Sans CJK SC" w:hAnsi="Noto Sans CJK SC" w:eastAsia="Noto Sans CJK SC"/>
          <w:sz w:val="21"/>
        </w:rPr>
        <w:t>十、不同分析类型的解释规则</w:t>
      </w:r>
    </w:p>
    <w:p>
      <w:pPr>
        <w:spacing w:after="60"/>
        <w:ind w:left="360"/>
      </w:pPr>
      <w:r>
        <w:rPr>
          <w:rFonts w:ascii="Noto Sans CJK SC" w:hAnsi="Noto Sans CJK SC" w:eastAsia="Noto Sans CJK SC"/>
          <w:sz w:val="21"/>
        </w:rPr>
        <w:t>十一、最小可行版本与开发路线</w:t>
      </w:r>
    </w:p>
    <w:p>
      <w:pPr>
        <w:spacing w:after="60"/>
        <w:ind w:left="360"/>
      </w:pPr>
      <w:r>
        <w:rPr>
          <w:rFonts w:ascii="Noto Sans CJK SC" w:hAnsi="Noto Sans CJK SC" w:eastAsia="Noto Sans CJK SC"/>
          <w:sz w:val="21"/>
        </w:rPr>
        <w:t>十二、评测与论文验证方案</w:t>
      </w:r>
    </w:p>
    <w:p>
      <w:pPr>
        <w:spacing w:after="60"/>
        <w:ind w:left="360"/>
      </w:pPr>
      <w:r>
        <w:rPr>
          <w:rFonts w:ascii="Noto Sans CJK SC" w:hAnsi="Noto Sans CJK SC" w:eastAsia="Noto Sans CJK SC"/>
          <w:sz w:val="21"/>
        </w:rPr>
        <w:t>十三、风险、边界与实施建议</w:t>
      </w:r>
    </w:p>
    <w:p>
      <w:pPr>
        <w:spacing w:after="60"/>
        <w:ind w:left="360"/>
      </w:pPr>
      <w:r>
        <w:rPr>
          <w:rFonts w:ascii="Noto Sans CJK SC" w:hAnsi="Noto Sans CJK SC" w:eastAsia="Noto Sans CJK SC"/>
          <w:sz w:val="21"/>
        </w:rPr>
        <w:t>十四、开题或论文可使用的研究问题</w:t>
      </w:r>
    </w:p>
    <w:p>
      <w:pPr>
        <w:spacing w:after="60"/>
        <w:ind w:left="360"/>
      </w:pPr>
      <w:r>
        <w:rPr>
          <w:rFonts w:ascii="Noto Sans CJK SC" w:hAnsi="Noto Sans CJK SC" w:eastAsia="Noto Sans CJK SC"/>
          <w:sz w:val="21"/>
        </w:rPr>
        <w:t>十五、参考文献与软件资源</w:t>
      </w:r>
    </w:p>
    <w:p>
      <w:pPr>
        <w:spacing w:after="60"/>
        <w:ind w:left="360"/>
      </w:pPr>
      <w:r>
        <w:rPr>
          <w:rFonts w:ascii="Noto Sans CJK SC" w:hAnsi="Noto Sans CJK SC" w:eastAsia="Noto Sans CJK SC"/>
          <w:sz w:val="21"/>
        </w:rPr>
        <w:t>附录：推荐检索式与报告使用说明</w:t>
      </w:r>
    </w:p>
    <w:p>
      <w:r>
        <w:br w:type="page"/>
      </w:r>
    </w:p>
    <w:p>
      <w:pPr>
        <w:pStyle w:val="Heading1"/>
        <w:keepNext/>
      </w:pPr>
      <w:r>
        <w:t>一、执行摘要</w:t>
      </w:r>
    </w:p>
    <w:tbl>
      <w:tblPr>
        <w:tblW w:type="auto" w:w="0"/>
        <w:jc w:val="center"/>
        <w:tblLook w:firstColumn="1" w:firstRow="1" w:lastColumn="0" w:lastRow="0" w:noHBand="0" w:noVBand="1" w:val="04A0"/>
      </w:tblPr>
      <w:tblGrid>
        <w:gridCol w:w="9659"/>
      </w:tblGrid>
      <w:tr>
        <w:trPr>
          <w:cantSplit/>
        </w:trPr>
        <w:tc>
          <w:tcPr>
            <w:tcW w:type="dxa" w:w="9659"/>
            <w:shd w:fill="EAF2F8"/>
            <w:tcBorders>
              <w:top w:val="single" w:sz="8" w:color="5B9BD5"/>
              <w:left w:val="single" w:sz="8" w:color="5B9BD5"/>
              <w:bottom w:val="single" w:sz="8" w:color="5B9BD5"/>
              <w:right w:val="single" w:sz="8" w:color="5B9BD5"/>
            </w:tcBorders>
            <w:tcMar>
              <w:top w:w="140" w:type="dxa"/>
              <w:start w:w="160" w:type="dxa"/>
              <w:bottom w:w="140" w:type="dxa"/>
              <w:end w:w="160" w:type="dxa"/>
            </w:tcMar>
          </w:tcPr>
          <w:p>
            <w:pPr>
              <w:spacing w:after="40"/>
            </w:pPr>
            <w:r/>
            <w:r>
              <w:rPr>
                <w:rFonts w:ascii="Noto Sans CJK SC" w:hAnsi="Noto Sans CJK SC" w:eastAsia="Noto Sans CJK SC"/>
                <w:b/>
                <w:color w:val="1F4E78"/>
                <w:sz w:val="22"/>
              </w:rPr>
              <w:t>核心判断</w:t>
            </w:r>
          </w:p>
          <w:p>
            <w:pPr>
              <w:spacing w:after="0"/>
            </w:pPr>
            <w:r>
              <w:rPr>
                <w:rFonts w:ascii="Noto Sans CJK SC" w:hAnsi="Noto Sans CJK SC" w:eastAsia="Noto Sans CJK SC"/>
                <w:sz w:val="20"/>
              </w:rPr>
              <w:t>这个方向有必要做，但不能把创新点表述为“第一个用 AI 解读生信结果”。单细胞注释、基因集解释、富集结果聚类和自动化生信流程已经出现相近工作。更有潜力的定位是：以 R 对象、执行上下文和可验证统计事实为输入，统一解释多类生信结果，同时诊断 R 代码错误，并面向本科生输出分层、可追溯的生物学说明。</w:t>
            </w:r>
          </w:p>
        </w:tc>
      </w:tr>
    </w:tbl>
    <w:p>
      <w:pPr>
        <w:spacing w:after="20"/>
      </w:pPr>
    </w:p>
    <w:p>
      <w:pPr>
        <w:spacing w:after="100"/>
        <w:ind w:firstLine="420"/>
      </w:pPr>
      <w:r>
        <w:rPr>
          <w:rFonts w:ascii="Noto Sans CJK SC" w:hAnsi="Noto Sans CJK SC" w:eastAsia="Noto Sans CJK SC"/>
          <w:sz w:val="21"/>
        </w:rPr>
        <w:t>你的构想包含两个相互关联但技术上不同的产品能力：第一，读取主流生信函数返回的对象和图表，解释数值、统计含义及生物学意义；第二，捕获函数运行时的错误、调用栈和上下文，向用户指出错误位置、可能原因和经过验证的改进代码。</w:t>
      </w:r>
    </w:p>
    <w:p>
      <w:pPr>
        <w:spacing w:after="100"/>
        <w:ind w:firstLine="420"/>
      </w:pPr>
      <w:r>
        <w:rPr>
          <w:rFonts w:ascii="Noto Sans CJK SC" w:hAnsi="Noto Sans CJK SC" w:eastAsia="Noto Sans CJK SC"/>
          <w:sz w:val="21"/>
        </w:rPr>
        <w:t>检索结果显示，最接近的方向包括单细胞 AI 工作流助手 SCassist、富集结果聚类与 LLM 注释工具 SummArIzeR、带数据库自验证的基因集解释工具 GeneAgent，以及具有错误恢复能力的 BioMaster。它们说明需求真实存在，也说明单一的“AI 解读”已经不是充分创新。</w:t>
      </w:r>
    </w:p>
    <w:p>
      <w:pPr>
        <w:spacing w:after="100"/>
        <w:ind w:firstLine="420"/>
      </w:pPr>
      <w:r>
        <w:rPr>
          <w:rFonts w:ascii="Noto Sans CJK SC" w:hAnsi="Noto Sans CJK SC" w:eastAsia="Noto Sans CJK SC"/>
          <w:sz w:val="21"/>
        </w:rPr>
        <w:t>建议的研究与产品主线是“证据约束的跨分析结果解释层”。R 代码先完成确定性的数值提取、统计检查和对象识别；知识库负责提供基因、通路和细胞类型证据；大语言模型只负责在证据范围内组织白话解释、提示限制和生成学习问题。bulk RNA-seq 与单细胞转录组主要仍属于转录组范围；只有进一步支持蛋白组、代谢组等数据时，才适合主张真正的多组学覆盖。</w:t>
      </w:r>
    </w:p>
    <w:p>
      <w:pPr>
        <w:spacing w:after="100"/>
        <w:ind w:firstLine="420"/>
      </w:pPr>
      <w:r>
        <w:rPr>
          <w:rFonts w:ascii="Noto Sans CJK SC" w:hAnsi="Noto Sans CJK SC" w:eastAsia="Noto Sans CJK SC"/>
          <w:sz w:val="21"/>
        </w:rPr>
        <w:t>最适合的第一版范围是 DESeq2/limma/edgeR、Seurat/SingleCellExperiment、clusterProfiler 和 ggplot2。第一版不应追求支持所有组学，而应优先验证三件事：解释是否正确、错误定位是否有效、初学者是否真的学会了结果解读。</w:t>
      </w:r>
    </w:p>
    <w:p>
      <w:pPr>
        <w:pStyle w:val="Heading1"/>
        <w:keepNext/>
      </w:pPr>
      <w:r>
        <w:t>二、构想定义与问题边界</w:t>
      </w:r>
    </w:p>
    <w:p>
      <w:pPr>
        <w:pStyle w:val="Heading2"/>
        <w:keepNext/>
      </w:pPr>
      <w:r>
        <w:t>2.1 用户痛点</w:t>
      </w:r>
    </w:p>
    <w:p>
      <w:pPr>
        <w:pStyle w:val="ListBullet"/>
        <w:spacing w:after="40"/>
        <w:ind w:left="403"/>
      </w:pPr>
      <w:r>
        <w:rPr>
          <w:rFonts w:ascii="Noto Sans CJK SC" w:hAnsi="Noto Sans CJK SC" w:eastAsia="Noto Sans CJK SC"/>
          <w:sz w:val="20"/>
        </w:rPr>
        <w:t>本科生能够运行教程或复制代码，但看不懂 p value、adjusted p value、log2 fold change、PCA、UMAP、富集因子等结果。</w:t>
      </w:r>
    </w:p>
    <w:p>
      <w:pPr>
        <w:pStyle w:val="ListBullet"/>
        <w:spacing w:after="40"/>
        <w:ind w:left="403"/>
      </w:pPr>
      <w:r>
        <w:rPr>
          <w:rFonts w:ascii="Noto Sans CJK SC" w:hAnsi="Noto Sans CJK SC" w:eastAsia="Noto Sans CJK SC"/>
          <w:sz w:val="20"/>
        </w:rPr>
        <w:t>图表能生成并不代表分析结论正确，初学者经常把相关关系说成因果关系，把显著性说成效应大小。</w:t>
      </w:r>
    </w:p>
    <w:p>
      <w:pPr>
        <w:pStyle w:val="ListBullet"/>
        <w:spacing w:after="40"/>
        <w:ind w:left="403"/>
      </w:pPr>
      <w:r>
        <w:rPr>
          <w:rFonts w:ascii="Noto Sans CJK SC" w:hAnsi="Noto Sans CJK SC" w:eastAsia="Noto Sans CJK SC"/>
          <w:sz w:val="20"/>
        </w:rPr>
        <w:t>R 的报错信息常常只给出最后一层提示，用户无法判断是对象类型、基因 ID、分组变量、包版本还是函数参数导致失败。</w:t>
      </w:r>
    </w:p>
    <w:p>
      <w:pPr>
        <w:pStyle w:val="ListBullet"/>
        <w:spacing w:after="40"/>
        <w:ind w:left="403"/>
      </w:pPr>
      <w:r>
        <w:rPr>
          <w:rFonts w:ascii="Noto Sans CJK SC" w:hAnsi="Noto Sans CJK SC" w:eastAsia="Noto Sans CJK SC"/>
          <w:sz w:val="20"/>
        </w:rPr>
        <w:t>现有 AI 编程助手能够生成或修改代码，但往往不知道生物学目标，也不会系统检查修复后统计结果是否仍然合理。</w:t>
      </w:r>
    </w:p>
    <w:p>
      <w:pPr>
        <w:pStyle w:val="ListBullet"/>
        <w:spacing w:after="40"/>
        <w:ind w:left="403"/>
      </w:pPr>
      <w:r>
        <w:rPr>
          <w:rFonts w:ascii="Noto Sans CJK SC" w:hAnsi="Noto Sans CJK SC" w:eastAsia="Noto Sans CJK SC"/>
          <w:sz w:val="20"/>
        </w:rPr>
        <w:t>多个分析步骤之间存在证据链，例如差异基因、富集通路、单细胞 cluster 和样本分离趋势，现有工具通常分别展示。</w:t>
      </w:r>
    </w:p>
    <w:p>
      <w:pPr>
        <w:pStyle w:val="Heading2"/>
        <w:keepNext/>
      </w:pPr>
      <w:r>
        <w:t>2.2 目标用户</w:t>
      </w:r>
    </w:p>
    <w:tbl>
      <w:tblPr>
        <w:tblStyle w:val="TableGrid"/>
        <w:tblW w:type="auto" w:w="0"/>
        <w:jc w:val="center"/>
        <w:tblLayout w:type="fixed"/>
        <w:tblLook w:firstColumn="1" w:firstRow="1" w:lastColumn="0" w:lastRow="0" w:noHBand="0" w:noVBand="1" w:val="04A0"/>
      </w:tblPr>
      <w:tblGrid>
        <w:gridCol w:w="1701"/>
        <w:gridCol w:w="3197"/>
        <w:gridCol w:w="4761"/>
      </w:tblGrid>
      <w:tr>
        <w:trPr>
          <w:tblHeader/>
          <w:cantSplit/>
        </w:trPr>
        <w:tc>
          <w:tcPr>
            <w:tcW w:type="dxa" w:w="1701"/>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用户</w:t>
            </w:r>
          </w:p>
        </w:tc>
        <w:tc>
          <w:tcPr>
            <w:tcW w:type="dxa" w:w="3197"/>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主要需求</w:t>
            </w:r>
          </w:p>
        </w:tc>
        <w:tc>
          <w:tcPr>
            <w:tcW w:type="dxa" w:w="4761"/>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产品输出</w:t>
            </w:r>
          </w:p>
        </w:tc>
      </w:tr>
      <w:tr>
        <w:trPr>
          <w:cantSplit/>
        </w:trPr>
        <w:tc>
          <w:tcPr>
            <w:tcW w:type="dxa" w:w="170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本科生/初学者</w:t>
            </w:r>
          </w:p>
        </w:tc>
        <w:tc>
          <w:tcPr>
            <w:tcW w:type="dxa" w:w="319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理解结果和基本统计概念</w:t>
            </w:r>
          </w:p>
        </w:tc>
        <w:tc>
          <w:tcPr>
            <w:tcW w:type="dxa" w:w="476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白话解释、概念卡片、图中元素说明</w:t>
            </w:r>
          </w:p>
        </w:tc>
      </w:tr>
      <w:tr>
        <w:trPr>
          <w:cantSplit/>
        </w:trPr>
        <w:tc>
          <w:tcPr>
            <w:tcW w:type="dxa" w:w="170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课程教师</w:t>
            </w:r>
          </w:p>
        </w:tc>
        <w:tc>
          <w:tcPr>
            <w:tcW w:type="dxa" w:w="3197"/>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布置实验、反馈作业、识别共性错误</w:t>
            </w:r>
          </w:p>
        </w:tc>
        <w:tc>
          <w:tcPr>
            <w:tcW w:type="dxa" w:w="476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可追溯报告、错误类型统计、分层教学材料</w:t>
            </w:r>
          </w:p>
        </w:tc>
      </w:tr>
      <w:tr>
        <w:trPr>
          <w:cantSplit/>
        </w:trPr>
        <w:tc>
          <w:tcPr>
            <w:tcW w:type="dxa" w:w="170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毕设学生</w:t>
            </w:r>
          </w:p>
        </w:tc>
        <w:tc>
          <w:tcPr>
            <w:tcW w:type="dxa" w:w="319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快速定位 R 错误并形成结果段落</w:t>
            </w:r>
          </w:p>
        </w:tc>
        <w:tc>
          <w:tcPr>
            <w:tcW w:type="dxa" w:w="476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错误调用链、修复建议、结果解释和局限性</w:t>
            </w:r>
          </w:p>
        </w:tc>
      </w:tr>
      <w:tr>
        <w:trPr>
          <w:cantSplit/>
        </w:trPr>
        <w:tc>
          <w:tcPr>
            <w:tcW w:type="dxa" w:w="170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生物学研究者</w:t>
            </w:r>
          </w:p>
        </w:tc>
        <w:tc>
          <w:tcPr>
            <w:tcW w:type="dxa" w:w="3197"/>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快速理解分析结果但不想重写代码</w:t>
            </w:r>
          </w:p>
        </w:tc>
        <w:tc>
          <w:tcPr>
            <w:tcW w:type="dxa" w:w="476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对象解析、跨步骤摘要、证据和参考文献</w:t>
            </w:r>
          </w:p>
        </w:tc>
      </w:tr>
    </w:tbl>
    <w:p>
      <w:pPr>
        <w:spacing w:after="0"/>
      </w:pPr>
    </w:p>
    <w:p>
      <w:pPr>
        <w:pStyle w:val="Heading2"/>
        <w:keepNext/>
      </w:pPr>
      <w:r>
        <w:t>2.3 不应承诺的能力</w:t>
      </w:r>
    </w:p>
    <w:p>
      <w:pPr>
        <w:pStyle w:val="ListBullet"/>
        <w:spacing w:after="40"/>
        <w:ind w:left="403"/>
      </w:pPr>
      <w:r>
        <w:rPr>
          <w:rFonts w:ascii="Noto Sans CJK SC" w:hAnsi="Noto Sans CJK SC" w:eastAsia="Noto Sans CJK SC"/>
          <w:sz w:val="20"/>
        </w:rPr>
        <w:t>不应把自动解释写成临床诊断、疾病因果结论或实验验证结论。</w:t>
      </w:r>
    </w:p>
    <w:p>
      <w:pPr>
        <w:pStyle w:val="ListBullet"/>
        <w:spacing w:after="40"/>
        <w:ind w:left="403"/>
      </w:pPr>
      <w:r>
        <w:rPr>
          <w:rFonts w:ascii="Noto Sans CJK SC" w:hAnsi="Noto Sans CJK SC" w:eastAsia="Noto Sans CJK SC"/>
          <w:sz w:val="20"/>
        </w:rPr>
        <w:t>不应让大语言模型代替 R 计算 p value、fold change、细胞数或富集统计量。</w:t>
      </w:r>
    </w:p>
    <w:p>
      <w:pPr>
        <w:pStyle w:val="ListBullet"/>
        <w:spacing w:after="40"/>
        <w:ind w:left="403"/>
      </w:pPr>
      <w:r>
        <w:rPr>
          <w:rFonts w:ascii="Noto Sans CJK SC" w:hAnsi="Noto Sans CJK SC" w:eastAsia="Noto Sans CJK SC"/>
          <w:sz w:val="20"/>
        </w:rPr>
        <w:t>不应承诺在用户事后加载 R 包时恢复全部历史运行过程；没有预先记录时，调用栈和中间对象可能已经丢失。</w:t>
      </w:r>
    </w:p>
    <w:p>
      <w:pPr>
        <w:pStyle w:val="Heading1"/>
        <w:keepNext/>
      </w:pPr>
      <w:r>
        <w:t>三、检索范围与判断方法</w:t>
      </w:r>
    </w:p>
    <w:p>
      <w:pPr>
        <w:spacing w:after="100"/>
        <w:ind w:firstLine="420"/>
      </w:pPr>
      <w:r>
        <w:rPr>
          <w:rFonts w:ascii="Noto Sans CJK SC" w:hAnsi="Noto Sans CJK SC" w:eastAsia="Noto Sans CJK SC"/>
          <w:sz w:val="21"/>
        </w:rPr>
        <w:t>本次整理以公开可检索资料为主，检索时间截至 2026 年 10 月 3 日。主要使用 Europe PMC 和 Crossref 检索论文元数据与摘要，同时查看 CRAN、R 官方文档、Posit 文档和相关项目主页。检索重点分为四条线：生信结果解释、单细胞/转录组 AI、LLM 辅助生信工作流、R 环境上下文与代码错误诊断。</w:t>
      </w:r>
    </w:p>
    <w:p>
      <w:pPr>
        <w:spacing w:after="100"/>
        <w:ind w:firstLine="420"/>
      </w:pPr>
      <w:r>
        <w:rPr>
          <w:rFonts w:ascii="Noto Sans CJK SC" w:hAnsi="Noto Sans CJK SC" w:eastAsia="Noto Sans CJK SC"/>
          <w:sz w:val="21"/>
        </w:rPr>
        <w:t>这是针对方案论证的定向文献检索，不是穷尽性系统综述。对工具覆盖范围的比较主要依据论文摘要与公开文档；“未覆盖/可形成差异”指本次资料未明确证明该能力，不能据此断言某工具绝对不具备该功能，也不能据此宣称全球首次。</w:t>
      </w:r>
    </w:p>
    <w:tbl>
      <w:tblPr>
        <w:tblStyle w:val="TableGrid"/>
        <w:tblW w:type="auto" w:w="0"/>
        <w:jc w:val="center"/>
        <w:tblLayout w:type="fixed"/>
        <w:tblLook w:firstColumn="1" w:firstRow="1" w:lastColumn="0" w:lastRow="0" w:noHBand="0" w:noVBand="1" w:val="04A0"/>
      </w:tblPr>
      <w:tblGrid>
        <w:gridCol w:w="1564"/>
        <w:gridCol w:w="3333"/>
        <w:gridCol w:w="4761"/>
      </w:tblGrid>
      <w:tr>
        <w:trPr>
          <w:tblHeader/>
          <w:cantSplit/>
        </w:trPr>
        <w:tc>
          <w:tcPr>
            <w:tcW w:type="dxa" w:w="1564"/>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检索线</w:t>
            </w:r>
          </w:p>
        </w:tc>
        <w:tc>
          <w:tcPr>
            <w:tcW w:type="dxa" w:w="3333"/>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关键词示例</w:t>
            </w:r>
          </w:p>
        </w:tc>
        <w:tc>
          <w:tcPr>
            <w:tcW w:type="dxa" w:w="4761"/>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关注问题</w:t>
            </w:r>
          </w:p>
        </w:tc>
      </w:tr>
      <w:tr>
        <w:trPr>
          <w:cantSplit/>
        </w:trPr>
        <w:tc>
          <w:tcPr>
            <w:tcW w:type="dxa" w:w="156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生信解释</w:t>
            </w:r>
          </w:p>
        </w:tc>
        <w:tc>
          <w:tcPr>
            <w:tcW w:type="dxa" w:w="333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gene set function, enrichment interpretation, pathway explanation</w:t>
            </w:r>
          </w:p>
        </w:tc>
        <w:tc>
          <w:tcPr>
            <w:tcW w:type="dxa" w:w="476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是否已有 AI 将统计结果翻译成生物学语言</w:t>
            </w:r>
          </w:p>
        </w:tc>
      </w:tr>
      <w:tr>
        <w:trPr>
          <w:cantSplit/>
        </w:trPr>
        <w:tc>
          <w:tcPr>
            <w:tcW w:type="dxa" w:w="156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单细胞</w:t>
            </w:r>
          </w:p>
        </w:tc>
        <w:tc>
          <w:tcPr>
            <w:tcW w:type="dxa" w:w="333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single-cell, cell type annotation, LLM, workflow assistant</w:t>
            </w:r>
          </w:p>
        </w:tc>
        <w:tc>
          <w:tcPr>
            <w:tcW w:type="dxa" w:w="476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是否已有 marker、PCA、UMAP 和 cluster 的 AI 解读</w:t>
            </w:r>
          </w:p>
        </w:tc>
      </w:tr>
      <w:tr>
        <w:trPr>
          <w:cantSplit/>
        </w:trPr>
        <w:tc>
          <w:tcPr>
            <w:tcW w:type="dxa" w:w="156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转录组</w:t>
            </w:r>
          </w:p>
        </w:tc>
        <w:tc>
          <w:tcPr>
            <w:tcW w:type="dxa" w:w="333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RNA-seq, transcriptome, differential expression, copilot</w:t>
            </w:r>
          </w:p>
        </w:tc>
        <w:tc>
          <w:tcPr>
            <w:tcW w:type="dxa" w:w="476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是否已有自然语言转录组分析和结果摘要</w:t>
            </w:r>
          </w:p>
        </w:tc>
      </w:tr>
      <w:tr>
        <w:trPr>
          <w:cantSplit/>
        </w:trPr>
        <w:tc>
          <w:tcPr>
            <w:tcW w:type="dxa" w:w="156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错误诊断</w:t>
            </w:r>
          </w:p>
        </w:tc>
        <w:tc>
          <w:tcPr>
            <w:tcW w:type="dxa" w:w="333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bioinformatics agent, error recovery, self-debugging, R context</w:t>
            </w:r>
          </w:p>
        </w:tc>
        <w:tc>
          <w:tcPr>
            <w:tcW w:type="dxa" w:w="476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是否已有自动定位错误、修复和验证闭环</w:t>
            </w:r>
          </w:p>
        </w:tc>
      </w:tr>
      <w:tr>
        <w:trPr>
          <w:cantSplit/>
        </w:trPr>
        <w:tc>
          <w:tcPr>
            <w:tcW w:type="dxa" w:w="156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教育应用</w:t>
            </w:r>
          </w:p>
        </w:tc>
        <w:tc>
          <w:tcPr>
            <w:tcW w:type="dxa" w:w="333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bioinformatics education, generative AI, undergraduate</w:t>
            </w:r>
          </w:p>
        </w:tc>
        <w:tc>
          <w:tcPr>
            <w:tcW w:type="dxa" w:w="476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是否有教学需求和评价方法依据</w:t>
            </w:r>
          </w:p>
        </w:tc>
      </w:tr>
    </w:tbl>
    <w:p>
      <w:pPr>
        <w:spacing w:after="0"/>
      </w:pPr>
    </w:p>
    <w:tbl>
      <w:tblPr>
        <w:tblW w:type="auto" w:w="0"/>
        <w:jc w:val="center"/>
        <w:tblLook w:firstColumn="1" w:firstRow="1" w:lastColumn="0" w:lastRow="0" w:noHBand="0" w:noVBand="1" w:val="04A0"/>
      </w:tblPr>
      <w:tblGrid>
        <w:gridCol w:w="9659"/>
      </w:tblGrid>
      <w:tr>
        <w:trPr>
          <w:cantSplit/>
        </w:trPr>
        <w:tc>
          <w:tcPr>
            <w:tcW w:type="dxa" w:w="9659"/>
            <w:shd w:fill="FFF4E5"/>
            <w:tcBorders>
              <w:top w:val="single" w:sz="8" w:color="5B9BD5"/>
              <w:left w:val="single" w:sz="8" w:color="5B9BD5"/>
              <w:bottom w:val="single" w:sz="8" w:color="5B9BD5"/>
              <w:right w:val="single" w:sz="8" w:color="5B9BD5"/>
            </w:tcBorders>
            <w:tcMar>
              <w:top w:w="140" w:type="dxa"/>
              <w:start w:w="160" w:type="dxa"/>
              <w:bottom w:w="140" w:type="dxa"/>
              <w:end w:w="160" w:type="dxa"/>
            </w:tcMar>
          </w:tcPr>
          <w:p>
            <w:pPr>
              <w:spacing w:after="40"/>
            </w:pPr>
            <w:r/>
            <w:r>
              <w:rPr>
                <w:rFonts w:ascii="Noto Sans CJK SC" w:hAnsi="Noto Sans CJK SC" w:eastAsia="Noto Sans CJK SC"/>
                <w:b/>
                <w:color w:val="1F4E78"/>
                <w:sz w:val="22"/>
              </w:rPr>
              <w:t>证据等级说明</w:t>
            </w:r>
          </w:p>
          <w:p>
            <w:pPr>
              <w:spacing w:after="0"/>
            </w:pPr>
            <w:r>
              <w:rPr>
                <w:rFonts w:ascii="Noto Sans CJK SC" w:hAnsi="Noto Sans CJK SC" w:eastAsia="Noto Sans CJK SC"/>
                <w:sz w:val="20"/>
              </w:rPr>
              <w:t>下文将“同行评审论文”“预印本”“软件包/项目文档”分开描述。预印本可以用来判断研究趋势，但不能与已经经过同行评审的论文使用同等强度的结论。软件包文档用于说明现有功能，不等于独立的科学有效性评价。</w:t>
            </w:r>
          </w:p>
        </w:tc>
      </w:tr>
    </w:tbl>
    <w:p>
      <w:pPr>
        <w:spacing w:after="20"/>
      </w:pPr>
    </w:p>
    <w:p>
      <w:pPr>
        <w:pStyle w:val="Heading1"/>
        <w:keepNext/>
      </w:pPr>
      <w:r>
        <w:t>四、相关文献与相近工具</w:t>
      </w:r>
    </w:p>
    <w:p>
      <w:pPr>
        <w:spacing w:after="100"/>
        <w:ind w:firstLine="420"/>
      </w:pPr>
      <w:r>
        <w:rPr>
          <w:rFonts w:ascii="Noto Sans CJK SC" w:hAnsi="Noto Sans CJK SC" w:eastAsia="Noto Sans CJK SC"/>
          <w:sz w:val="21"/>
        </w:rPr>
        <w:t>下表按与你的方案的接近程度和参考价值整理。表中“重合点”说明已有工作已经覆盖的部分，“空白/差异”说明仍可形成你自己的研究问题。</w:t>
      </w:r>
    </w:p>
    <w:tbl>
      <w:tblPr>
        <w:tblStyle w:val="TableGrid"/>
        <w:tblW w:type="auto" w:w="0"/>
        <w:jc w:val="center"/>
        <w:tblLayout w:type="fixed"/>
        <w:tblLook w:firstColumn="1" w:firstRow="1" w:lastColumn="0" w:lastRow="0" w:noHBand="0" w:noVBand="1" w:val="04A0"/>
      </w:tblPr>
      <w:tblGrid>
        <w:gridCol w:w="1867"/>
        <w:gridCol w:w="2833"/>
        <w:gridCol w:w="2189"/>
        <w:gridCol w:w="2769"/>
      </w:tblGrid>
      <w:tr>
        <w:trPr>
          <w:tblHeader/>
          <w:cantSplit/>
        </w:trPr>
        <w:tc>
          <w:tcPr>
            <w:tcW w:type="dxa" w:w="1867"/>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5"/>
              </w:rPr>
              <w:t>工作</w:t>
            </w:r>
          </w:p>
        </w:tc>
        <w:tc>
          <w:tcPr>
            <w:tcW w:type="dxa" w:w="2833"/>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5"/>
              </w:rPr>
              <w:t>主要功能</w:t>
            </w:r>
          </w:p>
        </w:tc>
        <w:tc>
          <w:tcPr>
            <w:tcW w:type="dxa" w:w="2189"/>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5"/>
              </w:rPr>
              <w:t>与你的重合点</w:t>
            </w:r>
          </w:p>
        </w:tc>
        <w:tc>
          <w:tcPr>
            <w:tcW w:type="dxa" w:w="2769"/>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5"/>
              </w:rPr>
              <w:t>可形成的差异</w:t>
            </w:r>
          </w:p>
        </w:tc>
      </w:tr>
      <w:tr>
        <w:trPr>
          <w:cantSplit/>
        </w:trPr>
        <w:tc>
          <w:tcPr>
            <w:tcW w:type="dxa" w:w="186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GPTCelltype</w:t>
              <w:br/>
              <w:t>Hou &amp; Ji, 2024</w:t>
              <w:br/>
              <w:t>同行评审</w:t>
            </w:r>
          </w:p>
        </w:tc>
        <w:tc>
          <w:tcPr>
            <w:tcW w:type="dxa" w:w="283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根据单细胞 marker gene 使用 GPT 进行细胞类型注释，并提供 R 软件包。</w:t>
            </w:r>
          </w:p>
        </w:tc>
        <w:tc>
          <w:tcPr>
            <w:tcW w:type="dxa" w:w="218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单细胞结果的 AI 语义解释。</w:t>
            </w:r>
          </w:p>
        </w:tc>
        <w:tc>
          <w:tcPr>
            <w:tcW w:type="dxa" w:w="276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主要是细胞类型注释，未覆盖通用 R 对象、图表、跨步骤解释和错误修复。</w:t>
            </w:r>
          </w:p>
        </w:tc>
      </w:tr>
      <w:tr>
        <w:trPr>
          <w:cantSplit/>
        </w:trPr>
        <w:tc>
          <w:tcPr>
            <w:tcW w:type="dxa" w:w="1867"/>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Bioinformatics Copilot 1.0</w:t>
              <w:br/>
              <w:t>Wang et al., 2024</w:t>
              <w:br/>
              <w:t>预印本</w:t>
            </w:r>
          </w:p>
        </w:tc>
        <w:tc>
          <w:tcPr>
            <w:tcW w:type="dxa" w:w="283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用自然语言辅助转录组分析，目标是降低 Python/R 使用门槛。</w:t>
            </w:r>
          </w:p>
        </w:tc>
        <w:tc>
          <w:tcPr>
            <w:tcW w:type="dxa" w:w="218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转录组自然语言交互。</w:t>
            </w:r>
          </w:p>
        </w:tc>
        <w:tc>
          <w:tcPr>
            <w:tcW w:type="dxa" w:w="276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更偏从数据开始自动分析，不等同于读取用户现有对象并审计原有结果。</w:t>
            </w:r>
          </w:p>
        </w:tc>
      </w:tr>
      <w:tr>
        <w:trPr>
          <w:cantSplit/>
        </w:trPr>
        <w:tc>
          <w:tcPr>
            <w:tcW w:type="dxa" w:w="186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SCassist</w:t>
              <w:br/>
              <w:t>Nagarajan et al., 2025</w:t>
              <w:br/>
              <w:t>同行评审</w:t>
            </w:r>
          </w:p>
        </w:tc>
        <w:tc>
          <w:tcPr>
            <w:tcW w:type="dxa" w:w="283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R 包，覆盖单细胞过滤、归一化、聚类参数建议、PCA、变量基因、细胞类型和富集解释。</w:t>
            </w:r>
          </w:p>
        </w:tc>
        <w:tc>
          <w:tcPr>
            <w:tcW w:type="dxa" w:w="218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与你的单细胞方向高度接近。</w:t>
            </w:r>
          </w:p>
        </w:tc>
        <w:tc>
          <w:tcPr>
            <w:tcW w:type="dxa" w:w="276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重点是单细胞工作流；跨 bulk RNA-seq、差异表达、通用 ggplot、教学评测和错误调用链仍可扩展。</w:t>
            </w:r>
          </w:p>
        </w:tc>
      </w:tr>
      <w:tr>
        <w:trPr>
          <w:cantSplit/>
        </w:trPr>
        <w:tc>
          <w:tcPr>
            <w:tcW w:type="dxa" w:w="1867"/>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GeneAgent</w:t>
              <w:br/>
              <w:t>Wang et al., 2025</w:t>
              <w:br/>
              <w:t>同行评审</w:t>
            </w:r>
          </w:p>
        </w:tc>
        <w:tc>
          <w:tcPr>
            <w:tcW w:type="dxa" w:w="283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与生物数据库交互，对基因集解释进行自验证，减少 LLM 幻觉。</w:t>
            </w:r>
          </w:p>
        </w:tc>
        <w:tc>
          <w:tcPr>
            <w:tcW w:type="dxa" w:w="218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基因集的证据约束和自验证。</w:t>
            </w:r>
          </w:p>
        </w:tc>
        <w:tc>
          <w:tcPr>
            <w:tcW w:type="dxa" w:w="276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不负责读取 R 运行上下文，也不覆盖多类 R 生信对象和代码修复。</w:t>
            </w:r>
          </w:p>
        </w:tc>
      </w:tr>
      <w:tr>
        <w:trPr>
          <w:cantSplit/>
        </w:trPr>
        <w:tc>
          <w:tcPr>
            <w:tcW w:type="dxa" w:w="186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llm2geneset</w:t>
              <w:br/>
              <w:t>Zhu et al., 2025</w:t>
              <w:br/>
              <w:t>同行评审</w:t>
            </w:r>
          </w:p>
        </w:tc>
        <w:tc>
          <w:tcPr>
            <w:tcW w:type="dxa" w:w="283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根据输入基因和自然语言背景动态生成基因集，并与 ORA 结合。</w:t>
            </w:r>
          </w:p>
        </w:tc>
        <w:tc>
          <w:tcPr>
            <w:tcW w:type="dxa" w:w="218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LLM 参与通路/基因集语义分析。</w:t>
            </w:r>
          </w:p>
        </w:tc>
        <w:tc>
          <w:tcPr>
            <w:tcW w:type="dxa" w:w="276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核心是生成基因集和 ORA，不是对已有全流程结果进行教学式解释。</w:t>
            </w:r>
          </w:p>
        </w:tc>
      </w:tr>
      <w:tr>
        <w:trPr>
          <w:cantSplit/>
        </w:trPr>
        <w:tc>
          <w:tcPr>
            <w:tcW w:type="dxa" w:w="1867"/>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AnnDictionary</w:t>
              <w:br/>
              <w:t>Crowley et al., 2025</w:t>
              <w:br/>
              <w:t>同行评审</w:t>
            </w:r>
          </w:p>
        </w:tc>
        <w:tc>
          <w:tcPr>
            <w:tcW w:type="dxa" w:w="283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基于 AnnData 评测多种 LLM 的细胞类型和基因集注释。</w:t>
            </w:r>
          </w:p>
        </w:tc>
        <w:tc>
          <w:tcPr>
            <w:tcW w:type="dxa" w:w="218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单细胞注释、LLM 比较和基准测试。</w:t>
            </w:r>
          </w:p>
        </w:tc>
        <w:tc>
          <w:tcPr>
            <w:tcW w:type="dxa" w:w="276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偏 Python/AnnData；可借鉴其评测思想，但 R 对象和错误诊断仍是不同切入点。</w:t>
            </w:r>
          </w:p>
        </w:tc>
      </w:tr>
      <w:tr>
        <w:trPr>
          <w:cantSplit/>
        </w:trPr>
        <w:tc>
          <w:tcPr>
            <w:tcW w:type="dxa" w:w="186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BioChatter</w:t>
              <w:br/>
              <w:t>Lobentanzer et al., 2025</w:t>
              <w:br/>
              <w:t>同行评审</w:t>
            </w:r>
          </w:p>
        </w:tc>
        <w:tc>
          <w:tcPr>
            <w:tcW w:type="dxa" w:w="283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连接大语言模型、生物医学知识库和工具，支持生物医学问答。</w:t>
            </w:r>
          </w:p>
        </w:tc>
        <w:tc>
          <w:tcPr>
            <w:tcW w:type="dxa" w:w="218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知识库增强、工具调用和可追溯回答。</w:t>
            </w:r>
          </w:p>
        </w:tc>
        <w:tc>
          <w:tcPr>
            <w:tcW w:type="dxa" w:w="276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不是面向 R 生信对象的专门解释器。</w:t>
            </w:r>
          </w:p>
        </w:tc>
      </w:tr>
      <w:tr>
        <w:trPr>
          <w:cantSplit/>
        </w:trPr>
        <w:tc>
          <w:tcPr>
            <w:tcW w:type="dxa" w:w="1867"/>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SummArIzeR</w:t>
              <w:br/>
              <w:t>Brinkmann et al., 2026</w:t>
              <w:br/>
              <w:t>同行评审</w:t>
            </w:r>
          </w:p>
        </w:tc>
        <w:tc>
          <w:tcPr>
            <w:tcW w:type="dxa" w:w="283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对多个数据库的富集结果按共享基因聚类，计算聚合 p value，并用 LLM 注释。</w:t>
            </w:r>
          </w:p>
        </w:tc>
        <w:tc>
          <w:tcPr>
            <w:tcW w:type="dxa" w:w="218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与富集结果解释最接近。</w:t>
            </w:r>
          </w:p>
        </w:tc>
        <w:tc>
          <w:tcPr>
            <w:tcW w:type="dxa" w:w="276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不覆盖单细胞、差异表达、转录组全流程、ggplot 语义和错误诊断。</w:t>
            </w:r>
          </w:p>
        </w:tc>
      </w:tr>
      <w:tr>
        <w:trPr>
          <w:cantSplit/>
        </w:trPr>
        <w:tc>
          <w:tcPr>
            <w:tcW w:type="dxa" w:w="186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BioMaster</w:t>
              <w:br/>
              <w:t>Su et al., 2026</w:t>
              <w:br/>
              <w:t>同行评审</w:t>
            </w:r>
          </w:p>
        </w:tc>
        <w:tc>
          <w:tcPr>
            <w:tcW w:type="dxa" w:w="283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多智能体完成流程规划、执行、错误恢复和输出验证。</w:t>
            </w:r>
          </w:p>
        </w:tc>
        <w:tc>
          <w:tcPr>
            <w:tcW w:type="dxa" w:w="218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与你的自动调试和错误恢复方向接近。</w:t>
            </w:r>
          </w:p>
        </w:tc>
        <w:tc>
          <w:tcPr>
            <w:tcW w:type="dxa" w:w="276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定位是自动执行复杂工作流，而不是面向本科生的 R 结果解释层。</w:t>
            </w:r>
          </w:p>
        </w:tc>
      </w:tr>
      <w:tr>
        <w:trPr>
          <w:cantSplit/>
        </w:trPr>
        <w:tc>
          <w:tcPr>
            <w:tcW w:type="dxa" w:w="1867"/>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btw / gander</w:t>
              <w:br/>
              <w:t>Posit R 生态</w:t>
              <w:br/>
              <w:t>软件包</w:t>
            </w:r>
          </w:p>
        </w:tc>
        <w:tc>
          <w:tcPr>
            <w:tcW w:type="dxa" w:w="283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读取 R 环境、对象、代码上下文和文档，为 LLM 提供可用上下文。</w:t>
            </w:r>
          </w:p>
        </w:tc>
        <w:tc>
          <w:tcPr>
            <w:tcW w:type="dxa" w:w="218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R 环境上下文捕获和 LLM 接入。</w:t>
            </w:r>
          </w:p>
        </w:tc>
        <w:tc>
          <w:tcPr>
            <w:tcW w:type="dxa" w:w="276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没有专门的生物信息学统计语义、通路证据和教育解释模块。</w:t>
            </w:r>
          </w:p>
        </w:tc>
      </w:tr>
    </w:tbl>
    <w:p>
      <w:pPr>
        <w:spacing w:after="0"/>
      </w:pPr>
    </w:p>
    <w:p>
      <w:pPr>
        <w:pStyle w:val="Heading2"/>
        <w:keepNext/>
      </w:pPr>
      <w:r>
        <w:t>4.1 单细胞方向的最新趋势</w:t>
      </w:r>
    </w:p>
    <w:p>
      <w:pPr>
        <w:spacing w:after="100"/>
        <w:ind w:firstLine="420"/>
      </w:pPr>
      <w:r>
        <w:rPr>
          <w:rFonts w:ascii="Noto Sans CJK SC" w:hAnsi="Noto Sans CJK SC" w:eastAsia="Noto Sans CJK SC"/>
          <w:sz w:val="21"/>
        </w:rPr>
        <w:t>单细胞是相近研究最密集的方向。GPTCelltype 在其评测条件下展示了 LLM 根据 marker 进行细胞类型注释的能力 [R10]；SCassist 进一步把 LLM 放入单细胞分析步骤中 [R15]；AnnDictionary 则重点评测不同模型在细胞类型和基因集注释上的表现 [R16]。这些性能结论依赖数据集、细胞类型和模型版本，不能直接泛化到全部组织和稀有细胞。</w:t>
      </w:r>
    </w:p>
    <w:p>
      <w:pPr>
        <w:spacing w:after="100"/>
        <w:ind w:firstLine="420"/>
      </w:pPr>
      <w:r>
        <w:rPr>
          <w:rFonts w:ascii="Noto Sans CJK SC" w:hAnsi="Noto Sans CJK SC" w:eastAsia="Noto Sans CJK SC"/>
          <w:sz w:val="21"/>
        </w:rPr>
        <w:t>更有价值的单细胞输出应包括 marker 依据、替代解释、置信程度、组织背景、批次和样本重复的限制，并将 cluster 注释与 QC、差异表达和通路活性连接起来。</w:t>
      </w:r>
    </w:p>
    <w:p>
      <w:pPr>
        <w:pStyle w:val="Heading2"/>
        <w:keepNext/>
      </w:pPr>
      <w:r>
        <w:t>4.2 富集和基因集解释方向</w:t>
      </w:r>
    </w:p>
    <w:p>
      <w:pPr>
        <w:spacing w:after="100"/>
        <w:ind w:firstLine="420"/>
      </w:pPr>
      <w:r>
        <w:rPr>
          <w:rFonts w:ascii="Noto Sans CJK SC" w:hAnsi="Noto Sans CJK SC" w:eastAsia="Noto Sans CJK SC"/>
          <w:sz w:val="21"/>
        </w:rPr>
        <w:t>GeneAgent、llm2geneset 和 SummArIzeR 分别从数据库验证、上下文基因集构建和富集聚类注释处理基因集解释问题 [R13-R14, R18]。Hu 等的研究提供了直接 LLM 基因集功能解释的评估依据 [R12]。这些工作共同说明，模型可能给出听起来合理但没有证据支持的机制解释，因此系统必须把“数据统计事实”和“生物学推断”分开呈现。</w:t>
      </w:r>
    </w:p>
    <w:p>
      <w:pPr>
        <w:pStyle w:val="Heading2"/>
        <w:keepNext/>
      </w:pPr>
      <w:r>
        <w:t>4.3 自动工作流与错误恢复方向</w:t>
      </w:r>
    </w:p>
    <w:p>
      <w:pPr>
        <w:spacing w:after="100"/>
        <w:ind w:firstLine="420"/>
      </w:pPr>
      <w:r>
        <w:rPr>
          <w:rFonts w:ascii="Noto Sans CJK SC" w:hAnsi="Noto Sans CJK SC" w:eastAsia="Noto Sans CJK SC"/>
          <w:sz w:val="21"/>
        </w:rPr>
        <w:t>BioMaster 已将工作流规划、执行、错误恢复和输出验证放到多智能体框架中 [R19]。通用代码领域的 Self-Debug 研究也表明，模型可以利用执行反馈反思和修改代码 [R23]，但这并不能直接证明其能正确修复 R 生信分析。生信场景的难点在于：代码修复成功不代表分析目的和统计假设仍然正确，因此应同时检查运行状态和生物学语义。</w:t>
      </w:r>
    </w:p>
    <w:p>
      <w:pPr>
        <w:pStyle w:val="Heading2"/>
        <w:keepNext/>
      </w:pPr>
      <w:r>
        <w:t>4.4 生信教育方向</w:t>
      </w:r>
    </w:p>
    <w:p>
      <w:pPr>
        <w:spacing w:after="100"/>
        <w:ind w:firstLine="420"/>
      </w:pPr>
      <w:r>
        <w:rPr>
          <w:rFonts w:ascii="Noto Sans CJK SC" w:hAnsi="Noto Sans CJK SC" w:eastAsia="Noto Sans CJK SC"/>
          <w:sz w:val="21"/>
        </w:rPr>
        <w:t>Piccolo 等讨论了 AI 用于个性化生信学习帮助的机会 [R20]；Teufel 与 Liberles 强调，生成式 AI 可能降低编码障碍，也可能掩盖学生的理解缺口 [R22]。这些观点文章支持研究动机，但不证明本方案已经有效。教学评价可参考 ISCB 能力框架 [R21]，把解释、统计判断和独立调试设为可观察能力。</w:t>
      </w:r>
    </w:p>
    <w:p>
      <w:pPr>
        <w:pStyle w:val="Heading1"/>
        <w:keepNext/>
      </w:pPr>
      <w:r>
        <w:t>五、与你的方案的重合度分析</w:t>
      </w:r>
    </w:p>
    <w:tbl>
      <w:tblPr>
        <w:tblStyle w:val="TableGrid"/>
        <w:tblW w:type="auto" w:w="0"/>
        <w:jc w:val="center"/>
        <w:tblLayout w:type="fixed"/>
        <w:tblLook w:firstColumn="1" w:firstRow="1" w:lastColumn="0" w:lastRow="0" w:noHBand="0" w:noVBand="1" w:val="04A0"/>
      </w:tblPr>
      <w:tblGrid>
        <w:gridCol w:w="1762"/>
        <w:gridCol w:w="3459"/>
        <w:gridCol w:w="4438"/>
      </w:tblGrid>
      <w:tr>
        <w:trPr>
          <w:tblHeader/>
          <w:cantSplit/>
        </w:trPr>
        <w:tc>
          <w:tcPr>
            <w:tcW w:type="dxa" w:w="1762"/>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6"/>
              </w:rPr>
              <w:t>能力维度</w:t>
            </w:r>
          </w:p>
        </w:tc>
        <w:tc>
          <w:tcPr>
            <w:tcW w:type="dxa" w:w="3459"/>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6"/>
              </w:rPr>
              <w:t>已有工具覆盖情况</w:t>
            </w:r>
          </w:p>
        </w:tc>
        <w:tc>
          <w:tcPr>
            <w:tcW w:type="dxa" w:w="4438"/>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6"/>
              </w:rPr>
              <w:t>你的方案可主张的切入点</w:t>
            </w:r>
          </w:p>
        </w:tc>
      </w:tr>
      <w:tr>
        <w:trPr>
          <w:cantSplit/>
        </w:trPr>
        <w:tc>
          <w:tcPr>
            <w:tcW w:type="dxa" w:w="1762"/>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富集结果解释</w:t>
            </w:r>
          </w:p>
        </w:tc>
        <w:tc>
          <w:tcPr>
            <w:tcW w:type="dxa" w:w="345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SummArIzeR、GeneAgent、llm2geneset 已有较强覆盖。</w:t>
            </w:r>
          </w:p>
        </w:tc>
        <w:tc>
          <w:tcPr>
            <w:tcW w:type="dxa" w:w="443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跨分析类型、初学者分层语言、统计事实/推断分离、可追溯报告。</w:t>
            </w:r>
          </w:p>
        </w:tc>
      </w:tr>
      <w:tr>
        <w:trPr>
          <w:cantSplit/>
        </w:trPr>
        <w:tc>
          <w:tcPr>
            <w:tcW w:type="dxa" w:w="1762"/>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单细胞注释</w:t>
            </w:r>
          </w:p>
        </w:tc>
        <w:tc>
          <w:tcPr>
            <w:tcW w:type="dxa" w:w="345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GPTCelltype、SCassist、AnnDictionary 等已有覆盖。</w:t>
            </w:r>
          </w:p>
        </w:tc>
        <w:tc>
          <w:tcPr>
            <w:tcW w:type="dxa" w:w="4438"/>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读取 Seurat/SCE 对象，联合 QC、cluster、marker、通路和样本层证据。</w:t>
            </w:r>
          </w:p>
        </w:tc>
      </w:tr>
      <w:tr>
        <w:trPr>
          <w:cantSplit/>
        </w:trPr>
        <w:tc>
          <w:tcPr>
            <w:tcW w:type="dxa" w:w="1762"/>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bulk RNA-seq / 差异表达</w:t>
            </w:r>
          </w:p>
        </w:tc>
        <w:tc>
          <w:tcPr>
            <w:tcW w:type="dxa" w:w="345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iDEP 等工具已能完成分析并导出结果；AI 解读仍在发展。</w:t>
            </w:r>
          </w:p>
        </w:tc>
        <w:tc>
          <w:tcPr>
            <w:tcW w:type="dxa" w:w="443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读取 DESeq2/limma/edgeR 对象，解释效应量、FDR、对比方向和结果限制。</w:t>
            </w:r>
          </w:p>
        </w:tc>
      </w:tr>
      <w:tr>
        <w:trPr>
          <w:cantSplit/>
        </w:trPr>
        <w:tc>
          <w:tcPr>
            <w:tcW w:type="dxa" w:w="1762"/>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ggplot 图表解读</w:t>
            </w:r>
          </w:p>
        </w:tc>
        <w:tc>
          <w:tcPr>
            <w:tcW w:type="dxa" w:w="345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通用 R-LMM 工具可读取对象或代码上下文，但缺少生信语义。</w:t>
            </w:r>
          </w:p>
        </w:tc>
        <w:tc>
          <w:tcPr>
            <w:tcW w:type="dxa" w:w="4438"/>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解析 aesthetic mapping、数据层和统计对象，并与表格结果交叉核对。</w:t>
            </w:r>
          </w:p>
        </w:tc>
      </w:tr>
      <w:tr>
        <w:trPr>
          <w:cantSplit/>
        </w:trPr>
        <w:tc>
          <w:tcPr>
            <w:tcW w:type="dxa" w:w="1762"/>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R 错误定位</w:t>
            </w:r>
          </w:p>
        </w:tc>
        <w:tc>
          <w:tcPr>
            <w:tcW w:type="dxa" w:w="345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btw/gander 提供上下文；BioMaster 提供自动工作流错误恢复。</w:t>
            </w:r>
          </w:p>
        </w:tc>
        <w:tc>
          <w:tcPr>
            <w:tcW w:type="dxa" w:w="443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R 调用栈、对象结构、生信参数和修复后分析语义的联合验证。</w:t>
            </w:r>
          </w:p>
        </w:tc>
      </w:tr>
      <w:tr>
        <w:trPr>
          <w:cantSplit/>
        </w:trPr>
        <w:tc>
          <w:tcPr>
            <w:tcW w:type="dxa" w:w="1762"/>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本科生教学</w:t>
            </w:r>
          </w:p>
        </w:tc>
        <w:tc>
          <w:tcPr>
            <w:tcW w:type="dxa" w:w="345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文献确认 AI 在生信教育中有潜力，但专门的多结果解释评测仍有限。</w:t>
            </w:r>
          </w:p>
        </w:tc>
        <w:tc>
          <w:tcPr>
            <w:tcW w:type="dxa" w:w="4438"/>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把学习效果作为主要评价终点，而不仅是模型回答质量。</w:t>
            </w:r>
          </w:p>
        </w:tc>
      </w:tr>
      <w:tr>
        <w:trPr>
          <w:cantSplit/>
        </w:trPr>
        <w:tc>
          <w:tcPr>
            <w:tcW w:type="dxa" w:w="1762"/>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跨步骤证据链</w:t>
            </w:r>
          </w:p>
        </w:tc>
        <w:tc>
          <w:tcPr>
            <w:tcW w:type="dxa" w:w="345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多数工具聚焦单个对象、单个流程或单类任务。</w:t>
            </w:r>
          </w:p>
        </w:tc>
        <w:tc>
          <w:tcPr>
            <w:tcW w:type="dxa" w:w="443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将 PCA、DEG、富集、单细胞和图表组织成项目级结果链。</w:t>
            </w:r>
          </w:p>
        </w:tc>
      </w:tr>
    </w:tbl>
    <w:p>
      <w:pPr>
        <w:spacing w:after="0"/>
      </w:pPr>
    </w:p>
    <w:tbl>
      <w:tblPr>
        <w:tblW w:type="auto" w:w="0"/>
        <w:jc w:val="center"/>
        <w:tblLook w:firstColumn="1" w:firstRow="1" w:lastColumn="0" w:lastRow="0" w:noHBand="0" w:noVBand="1" w:val="04A0"/>
      </w:tblPr>
      <w:tblGrid>
        <w:gridCol w:w="9659"/>
      </w:tblGrid>
      <w:tr>
        <w:trPr>
          <w:cantSplit/>
        </w:trPr>
        <w:tc>
          <w:tcPr>
            <w:tcW w:type="dxa" w:w="9659"/>
            <w:shd w:fill="E2F0D9"/>
            <w:tcBorders>
              <w:top w:val="single" w:sz="8" w:color="5B9BD5"/>
              <w:left w:val="single" w:sz="8" w:color="5B9BD5"/>
              <w:bottom w:val="single" w:sz="8" w:color="5B9BD5"/>
              <w:right w:val="single" w:sz="8" w:color="5B9BD5"/>
            </w:tcBorders>
            <w:tcMar>
              <w:top w:w="140" w:type="dxa"/>
              <w:start w:w="160" w:type="dxa"/>
              <w:bottom w:w="140" w:type="dxa"/>
              <w:end w:w="160" w:type="dxa"/>
            </w:tcMar>
          </w:tcPr>
          <w:p>
            <w:pPr>
              <w:spacing w:after="40"/>
            </w:pPr>
            <w:r/>
            <w:r>
              <w:rPr>
                <w:rFonts w:ascii="Noto Sans CJK SC" w:hAnsi="Noto Sans CJK SC" w:eastAsia="Noto Sans CJK SC"/>
                <w:b/>
                <w:color w:val="1F4E78"/>
                <w:sz w:val="22"/>
              </w:rPr>
              <w:t>创新性结论</w:t>
            </w:r>
          </w:p>
          <w:p>
            <w:pPr>
              <w:spacing w:after="0"/>
            </w:pPr>
            <w:r>
              <w:rPr>
                <w:rFonts w:ascii="Noto Sans CJK SC" w:hAnsi="Noto Sans CJK SC" w:eastAsia="Noto Sans CJK SC"/>
                <w:sz w:val="20"/>
              </w:rPr>
              <w:t>“AI 解读某一种生信结果”属于已有方向；“面向 R 生态的跨分析对象解释、执行上下文捕获、统计与生物学证据约束、错误修复验证、并以本科生学习效果评价”是值得验证的组合创新候选。它不是已经证实的空白：需要进一步核查相近工具，并通过统一表示、证据链和实证评测展示优势。</w:t>
            </w:r>
          </w:p>
        </w:tc>
      </w:tr>
    </w:tbl>
    <w:p>
      <w:pPr>
        <w:spacing w:after="20"/>
      </w:pPr>
    </w:p>
    <w:p>
      <w:pPr>
        <w:pStyle w:val="Heading1"/>
        <w:keepNext/>
      </w:pPr>
      <w:r>
        <w:t>六、必要性与创新性判断</w:t>
      </w:r>
    </w:p>
    <w:p>
      <w:pPr>
        <w:pStyle w:val="Heading2"/>
        <w:keepNext/>
      </w:pPr>
      <w:r>
        <w:t>6.1 为什么有必要</w:t>
      </w:r>
    </w:p>
    <w:p>
      <w:pPr>
        <w:pStyle w:val="ListBullet"/>
        <w:spacing w:after="40"/>
        <w:ind w:left="403"/>
      </w:pPr>
      <w:r>
        <w:rPr>
          <w:rFonts w:ascii="Noto Sans CJK SC" w:hAnsi="Noto Sans CJK SC" w:eastAsia="Noto Sans CJK SC"/>
          <w:sz w:val="20"/>
        </w:rPr>
        <w:t>统计结果和生物学解释之间存在真实学习鸿沟。现有软件降低了运行门槛，但不一定降低理解门槛。</w:t>
      </w:r>
    </w:p>
    <w:p>
      <w:pPr>
        <w:pStyle w:val="ListBullet"/>
        <w:spacing w:after="40"/>
        <w:ind w:left="403"/>
      </w:pPr>
      <w:r>
        <w:rPr>
          <w:rFonts w:ascii="Noto Sans CJK SC" w:hAnsi="Noto Sans CJK SC" w:eastAsia="Noto Sans CJK SC"/>
          <w:sz w:val="20"/>
        </w:rPr>
        <w:t>生信项目通常包含多个对象和多个图表，孤立看一张图容易出现过度解释；项目级解释能帮助学习者理解证据链。</w:t>
      </w:r>
    </w:p>
    <w:p>
      <w:pPr>
        <w:pStyle w:val="ListBullet"/>
        <w:spacing w:after="40"/>
        <w:ind w:left="403"/>
      </w:pPr>
      <w:r>
        <w:rPr>
          <w:rFonts w:ascii="Noto Sans CJK SC" w:hAnsi="Noto Sans CJK SC" w:eastAsia="Noto Sans CJK SC"/>
          <w:sz w:val="20"/>
        </w:rPr>
        <w:t>R 报错的解决方式往往依赖搜索、复制粘贴和反复试错，初学者难以判断修复是否改变了分析目标。</w:t>
      </w:r>
    </w:p>
    <w:p>
      <w:pPr>
        <w:pStyle w:val="ListBullet"/>
        <w:spacing w:after="40"/>
        <w:ind w:left="403"/>
      </w:pPr>
      <w:r>
        <w:rPr>
          <w:rFonts w:ascii="Noto Sans CJK SC" w:hAnsi="Noto Sans CJK SC" w:eastAsia="Noto Sans CJK SC"/>
          <w:sz w:val="20"/>
        </w:rPr>
        <w:t>AI 生物信息学教育文献强调个性化帮助的潜力，同时强调学习者必须保留判断、理解不确定性和核查 AI 输出的能力。</w:t>
      </w:r>
    </w:p>
    <w:p>
      <w:pPr>
        <w:pStyle w:val="ListBullet"/>
        <w:spacing w:after="40"/>
        <w:ind w:left="403"/>
      </w:pPr>
      <w:r>
        <w:rPr>
          <w:rFonts w:ascii="Noto Sans CJK SC" w:hAnsi="Noto Sans CJK SC" w:eastAsia="Noto Sans CJK SC"/>
          <w:sz w:val="20"/>
        </w:rPr>
        <w:t>如果系统拥有结构化统计事实和生物数据库证据，它可以把 LLM 从“自由发挥的聊天工具”约束为“有依据的解释组件”。</w:t>
      </w:r>
    </w:p>
    <w:p>
      <w:pPr>
        <w:pStyle w:val="Heading2"/>
        <w:keepNext/>
      </w:pPr>
      <w:r>
        <w:t>6.2 研究价值与产品价值</w:t>
      </w:r>
    </w:p>
    <w:tbl>
      <w:tblPr>
        <w:tblStyle w:val="TableGrid"/>
        <w:tblW w:type="auto" w:w="0"/>
        <w:jc w:val="center"/>
        <w:tblLayout w:type="fixed"/>
        <w:tblLook w:firstColumn="1" w:firstRow="1" w:lastColumn="0" w:lastRow="0" w:noHBand="0" w:noVBand="1" w:val="04A0"/>
      </w:tblPr>
      <w:tblGrid>
        <w:gridCol w:w="1566"/>
        <w:gridCol w:w="8093"/>
      </w:tblGrid>
      <w:tr>
        <w:trPr>
          <w:tblHeader/>
          <w:cantSplit/>
        </w:trPr>
        <w:tc>
          <w:tcPr>
            <w:tcW w:type="dxa" w:w="1566"/>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维度</w:t>
            </w:r>
          </w:p>
        </w:tc>
        <w:tc>
          <w:tcPr>
            <w:tcW w:type="dxa" w:w="8093"/>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可形成的价值</w:t>
            </w:r>
          </w:p>
        </w:tc>
      </w:tr>
      <w:tr>
        <w:trPr>
          <w:cantSplit/>
        </w:trPr>
        <w:tc>
          <w:tcPr>
            <w:tcW w:type="dxa" w:w="156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教学</w:t>
            </w:r>
          </w:p>
        </w:tc>
        <w:tc>
          <w:tcPr>
            <w:tcW w:type="dxa" w:w="809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帮助学生从会运行代码过渡到会解释结果、判断限制和排查错误。</w:t>
            </w:r>
          </w:p>
        </w:tc>
      </w:tr>
      <w:tr>
        <w:trPr>
          <w:cantSplit/>
        </w:trPr>
        <w:tc>
          <w:tcPr>
            <w:tcW w:type="dxa" w:w="1566"/>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科研</w:t>
            </w:r>
          </w:p>
        </w:tc>
        <w:tc>
          <w:tcPr>
            <w:tcW w:type="dxa" w:w="809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减少重复性结果说明工作，快速发现对象类型、ID、分组或统计阈值问题。</w:t>
            </w:r>
          </w:p>
        </w:tc>
      </w:tr>
      <w:tr>
        <w:trPr>
          <w:cantSplit/>
        </w:trPr>
        <w:tc>
          <w:tcPr>
            <w:tcW w:type="dxa" w:w="156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软件工程</w:t>
            </w:r>
          </w:p>
        </w:tc>
        <w:tc>
          <w:tcPr>
            <w:tcW w:type="dxa" w:w="809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形成可插拔的 R 生信对象适配器和运行过程记录机制。</w:t>
            </w:r>
          </w:p>
        </w:tc>
      </w:tr>
      <w:tr>
        <w:trPr>
          <w:cantSplit/>
        </w:trPr>
        <w:tc>
          <w:tcPr>
            <w:tcW w:type="dxa" w:w="1566"/>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方法学</w:t>
            </w:r>
          </w:p>
        </w:tc>
        <w:tc>
          <w:tcPr>
            <w:tcW w:type="dxa" w:w="809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研究证据约束、可追溯解释和生信代码修复验证。</w:t>
            </w:r>
          </w:p>
        </w:tc>
      </w:tr>
      <w:tr>
        <w:trPr>
          <w:cantSplit/>
        </w:trPr>
        <w:tc>
          <w:tcPr>
            <w:tcW w:type="dxa" w:w="156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评价研究</w:t>
            </w:r>
          </w:p>
        </w:tc>
        <w:tc>
          <w:tcPr>
            <w:tcW w:type="dxa" w:w="809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可测量 AI 是否提高结果解释准确性、错误诊断效率和学习效果。</w:t>
            </w:r>
          </w:p>
        </w:tc>
      </w:tr>
    </w:tbl>
    <w:p>
      <w:pPr>
        <w:spacing w:after="0"/>
      </w:pPr>
    </w:p>
    <w:p>
      <w:pPr>
        <w:pStyle w:val="Heading2"/>
        <w:keepNext/>
      </w:pPr>
      <w:r>
        <w:t>6.3 创新点的强弱排序</w:t>
      </w:r>
    </w:p>
    <w:p>
      <w:pPr>
        <w:pStyle w:val="ListNumber"/>
        <w:spacing w:after="40"/>
      </w:pPr>
      <w:r>
        <w:rPr>
          <w:rFonts w:ascii="Noto Sans CJK SC" w:hAnsi="Noto Sans CJK SC" w:eastAsia="Noto Sans CJK SC"/>
          <w:sz w:val="20"/>
        </w:rPr>
        <w:t>较强：跨对象统一表示，将 Seurat、DESeq2、enrichResult、ggplot 等转化为可解释的统计-生物学中间结构。</w:t>
      </w:r>
    </w:p>
    <w:p>
      <w:pPr>
        <w:pStyle w:val="ListNumber"/>
        <w:spacing w:after="40"/>
      </w:pPr>
      <w:r>
        <w:rPr>
          <w:rFonts w:ascii="Noto Sans CJK SC" w:hAnsi="Noto Sans CJK SC" w:eastAsia="Noto Sans CJK SC"/>
          <w:sz w:val="20"/>
        </w:rPr>
        <w:t>较强：主动记录 R 运行过程，并将错误调用栈、对象状态和生物学分析目的一起提供给诊断器。</w:t>
      </w:r>
    </w:p>
    <w:p>
      <w:pPr>
        <w:pStyle w:val="ListNumber"/>
        <w:spacing w:after="40"/>
      </w:pPr>
      <w:r>
        <w:rPr>
          <w:rFonts w:ascii="Noto Sans CJK SC" w:hAnsi="Noto Sans CJK SC" w:eastAsia="Noto Sans CJK SC"/>
          <w:sz w:val="20"/>
        </w:rPr>
        <w:t>较强：把结果解释、错误修复和修复后语义验证放在同一个教学闭环。</w:t>
      </w:r>
    </w:p>
    <w:p>
      <w:pPr>
        <w:pStyle w:val="ListNumber"/>
        <w:spacing w:after="40"/>
      </w:pPr>
      <w:r>
        <w:rPr>
          <w:rFonts w:ascii="Noto Sans CJK SC" w:hAnsi="Noto Sans CJK SC" w:eastAsia="Noto Sans CJK SC"/>
          <w:sz w:val="20"/>
        </w:rPr>
        <w:t>中等：面向本科生的分层白话解释、概念卡片、反例和学习问题。</w:t>
      </w:r>
    </w:p>
    <w:p>
      <w:pPr>
        <w:pStyle w:val="ListNumber"/>
        <w:spacing w:after="40"/>
      </w:pPr>
      <w:r>
        <w:rPr>
          <w:rFonts w:ascii="Noto Sans CJK SC" w:hAnsi="Noto Sans CJK SC" w:eastAsia="Noto Sans CJK SC"/>
          <w:sz w:val="20"/>
        </w:rPr>
        <w:t>较弱：单独使用 LLM 生成富集、差异表达或单细胞的文字说明。</w:t>
      </w:r>
    </w:p>
    <w:p>
      <w:pPr>
        <w:pStyle w:val="Heading1"/>
        <w:keepNext/>
      </w:pPr>
      <w:r>
        <w:t>七、建议的产品定位</w:t>
      </w:r>
    </w:p>
    <w:tbl>
      <w:tblPr>
        <w:tblW w:type="auto" w:w="0"/>
        <w:jc w:val="center"/>
        <w:tblLook w:firstColumn="1" w:firstRow="1" w:lastColumn="0" w:lastRow="0" w:noHBand="0" w:noVBand="1" w:val="04A0"/>
      </w:tblPr>
      <w:tblGrid>
        <w:gridCol w:w="9659"/>
      </w:tblGrid>
      <w:tr>
        <w:trPr>
          <w:cantSplit/>
        </w:trPr>
        <w:tc>
          <w:tcPr>
            <w:tcW w:type="dxa" w:w="9659"/>
            <w:shd w:fill="EAF2F8"/>
            <w:tcBorders>
              <w:top w:val="single" w:sz="8" w:color="5B9BD5"/>
              <w:left w:val="single" w:sz="8" w:color="5B9BD5"/>
              <w:bottom w:val="single" w:sz="8" w:color="5B9BD5"/>
              <w:right w:val="single" w:sz="8" w:color="5B9BD5"/>
            </w:tcBorders>
            <w:tcMar>
              <w:top w:w="140" w:type="dxa"/>
              <w:start w:w="160" w:type="dxa"/>
              <w:bottom w:w="140" w:type="dxa"/>
              <w:end w:w="160" w:type="dxa"/>
            </w:tcMar>
          </w:tcPr>
          <w:p>
            <w:pPr>
              <w:spacing w:after="40"/>
            </w:pPr>
            <w:r/>
            <w:r>
              <w:rPr>
                <w:rFonts w:ascii="Noto Sans CJK SC" w:hAnsi="Noto Sans CJK SC" w:eastAsia="Noto Sans CJK SC"/>
                <w:b/>
                <w:color w:val="1F4E78"/>
                <w:sz w:val="22"/>
              </w:rPr>
              <w:t>推荐定位语句</w:t>
            </w:r>
          </w:p>
          <w:p>
            <w:pPr>
              <w:spacing w:after="0"/>
            </w:pPr>
            <w:r>
              <w:rPr>
                <w:rFonts w:ascii="Noto Sans CJK SC" w:hAnsi="Noto Sans CJK SC" w:eastAsia="Noto Sans CJK SC"/>
                <w:sz w:val="20"/>
              </w:rPr>
              <w:t>一个面向生物信息学学习与科研入门的 R 语言解释与调试框架：它读取主流生信分析对象、图表和运行上下文，先提取可验证的统计事实，再结合生物数据库与文献生成分层的生物学解释，并对 R 错误给出可验证的修复建议。</w:t>
            </w:r>
          </w:p>
        </w:tc>
      </w:tr>
    </w:tbl>
    <w:p>
      <w:pPr>
        <w:spacing w:after="20"/>
      </w:pPr>
    </w:p>
    <w:p>
      <w:pPr>
        <w:pStyle w:val="Heading2"/>
        <w:keepNext/>
      </w:pPr>
      <w:r>
        <w:t>7.1 推荐产品名称方向</w:t>
      </w:r>
    </w:p>
    <w:p>
      <w:pPr>
        <w:pStyle w:val="ListBullet"/>
        <w:spacing w:after="40"/>
        <w:ind w:left="403"/>
      </w:pPr>
      <w:r>
        <w:rPr>
          <w:rFonts w:ascii="Noto Sans CJK SC" w:hAnsi="Noto Sans CJK SC" w:eastAsia="Noto Sans CJK SC"/>
          <w:sz w:val="20"/>
        </w:rPr>
        <w:t>BioExplainR：突出结果解释。</w:t>
      </w:r>
    </w:p>
    <w:p>
      <w:pPr>
        <w:pStyle w:val="ListBullet"/>
        <w:spacing w:after="40"/>
        <w:ind w:left="403"/>
      </w:pPr>
      <w:r>
        <w:rPr>
          <w:rFonts w:ascii="Noto Sans CJK SC" w:hAnsi="Noto Sans CJK SC" w:eastAsia="Noto Sans CJK SC"/>
          <w:sz w:val="20"/>
        </w:rPr>
        <w:t>OmicsTutorR：突出本科生教学和学习。</w:t>
      </w:r>
    </w:p>
    <w:p>
      <w:pPr>
        <w:pStyle w:val="ListBullet"/>
        <w:spacing w:after="40"/>
        <w:ind w:left="403"/>
      </w:pPr>
      <w:r>
        <w:rPr>
          <w:rFonts w:ascii="Noto Sans CJK SC" w:hAnsi="Noto Sans CJK SC" w:eastAsia="Noto Sans CJK SC"/>
          <w:sz w:val="20"/>
        </w:rPr>
        <w:t>BioTraceR：突出执行上下文和证据追踪。</w:t>
      </w:r>
    </w:p>
    <w:p>
      <w:pPr>
        <w:pStyle w:val="ListBullet"/>
        <w:spacing w:after="40"/>
        <w:ind w:left="403"/>
      </w:pPr>
      <w:r>
        <w:rPr>
          <w:rFonts w:ascii="Noto Sans CJK SC" w:hAnsi="Noto Sans CJK SC" w:eastAsia="Noto Sans CJK SC"/>
          <w:sz w:val="20"/>
        </w:rPr>
        <w:t>OmicsLens：突出跨图表、跨结果观察分析。</w:t>
      </w:r>
    </w:p>
    <w:p>
      <w:pPr>
        <w:pStyle w:val="Heading2"/>
        <w:keepNext/>
      </w:pPr>
      <w:r>
        <w:t>7.2 推荐英文研究题目</w:t>
      </w:r>
    </w:p>
    <w:p>
      <w:pPr>
        <w:spacing w:after="100"/>
      </w:pPr>
      <w:r>
        <w:rPr>
          <w:rFonts w:ascii="Noto Sans CJK SC" w:hAnsi="Noto Sans CJK SC" w:eastAsia="Noto Sans CJK SC"/>
          <w:sz w:val="21"/>
        </w:rPr>
        <w:t>An Evidence-Grounded R Framework for Multimodal Bioinformatics Result Interpretation and Error Diagnosis in Undergraduate Education</w:t>
      </w:r>
    </w:p>
    <w:p>
      <w:pPr>
        <w:spacing w:after="100"/>
        <w:ind w:firstLine="420"/>
      </w:pPr>
      <w:r>
        <w:rPr>
          <w:rFonts w:ascii="Noto Sans CJK SC" w:hAnsi="Noto Sans CJK SC" w:eastAsia="Noto Sans CJK SC"/>
          <w:sz w:val="21"/>
        </w:rPr>
        <w:t>该题目同时涵盖证据约束、R 框架、多模态结果、错误诊断和本科生教育，适合项目申请或论文题目。</w:t>
      </w:r>
    </w:p>
    <w:p>
      <w:pPr>
        <w:pStyle w:val="Heading1"/>
        <w:keepNext/>
      </w:pPr>
      <w:r>
        <w:t>八、技术架构与核心模块</w:t>
      </w:r>
    </w:p>
    <w:p>
      <w:pPr>
        <w:spacing w:after="100"/>
        <w:ind w:firstLine="420"/>
      </w:pPr>
      <w:r>
        <w:rPr>
          <w:rFonts w:ascii="Noto Sans CJK SC" w:hAnsi="Noto Sans CJK SC" w:eastAsia="Noto Sans CJK SC"/>
          <w:sz w:val="21"/>
        </w:rPr>
        <w:t>推荐采用“确定性解析 + 知识检索 + LLM 语言组织 + 结果验证”的架构。统计数值和对象结构由 R 代码提取；LLM 不直接决定数值。</w:t>
      </w:r>
    </w:p>
    <w:tbl>
      <w:tblPr>
        <w:tblStyle w:val="TableGrid"/>
        <w:tblW w:type="auto" w:w="0"/>
        <w:jc w:val="center"/>
        <w:tblLayout w:type="fixed"/>
        <w:tblLook w:firstColumn="1" w:firstRow="1" w:lastColumn="0" w:lastRow="0" w:noHBand="0" w:noVBand="1" w:val="04A0"/>
      </w:tblPr>
      <w:tblGrid>
        <w:gridCol w:w="1406"/>
        <w:gridCol w:w="3790"/>
        <w:gridCol w:w="4463"/>
      </w:tblGrid>
      <w:tr>
        <w:trPr>
          <w:tblHeader/>
          <w:cantSplit/>
        </w:trPr>
        <w:tc>
          <w:tcPr>
            <w:tcW w:type="dxa" w:w="1406"/>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6"/>
              </w:rPr>
              <w:t>层次</w:t>
            </w:r>
          </w:p>
        </w:tc>
        <w:tc>
          <w:tcPr>
            <w:tcW w:type="dxa" w:w="3790"/>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6"/>
              </w:rPr>
              <w:t>核心职责</w:t>
            </w:r>
          </w:p>
        </w:tc>
        <w:tc>
          <w:tcPr>
            <w:tcW w:type="dxa" w:w="4463"/>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6"/>
              </w:rPr>
              <w:t>示例实现</w:t>
            </w:r>
          </w:p>
        </w:tc>
      </w:tr>
      <w:tr>
        <w:trPr>
          <w:cantSplit/>
        </w:trPr>
        <w:tc>
          <w:tcPr>
            <w:tcW w:type="dxa" w:w="140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1. 运行记录层</w:t>
            </w:r>
          </w:p>
        </w:tc>
        <w:tc>
          <w:tcPr>
            <w:tcW w:type="dxa" w:w="3790"/>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记录代码、输入输出对象、警告、错误、调用栈和版本。</w:t>
            </w:r>
          </w:p>
        </w:tc>
        <w:tc>
          <w:tcPr>
            <w:tcW w:type="dxa" w:w="446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tryCatch、withCallingHandlers、rlang::last_trace、evaluate、callr</w:t>
            </w:r>
          </w:p>
        </w:tc>
      </w:tr>
      <w:tr>
        <w:trPr>
          <w:cantSplit/>
        </w:trPr>
        <w:tc>
          <w:tcPr>
            <w:tcW w:type="dxa" w:w="1406"/>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2. 对象识别层</w:t>
            </w:r>
          </w:p>
        </w:tc>
        <w:tc>
          <w:tcPr>
            <w:tcW w:type="dxa" w:w="3790"/>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识别 S3/S4/R6 类、包名、对象槽位和分析类型。</w:t>
            </w:r>
          </w:p>
        </w:tc>
        <w:tc>
          <w:tcPr>
            <w:tcW w:type="dxa" w:w="446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inherits、methods::is、class、utils::packageVersion</w:t>
            </w:r>
          </w:p>
        </w:tc>
      </w:tr>
      <w:tr>
        <w:trPr>
          <w:cantSplit/>
        </w:trPr>
        <w:tc>
          <w:tcPr>
            <w:tcW w:type="dxa" w:w="140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3. 确定性事实层</w:t>
            </w:r>
          </w:p>
        </w:tc>
        <w:tc>
          <w:tcPr>
            <w:tcW w:type="dxa" w:w="3790"/>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计算维度、数量、方向、阈值、FDR、样本和分组摘要。</w:t>
            </w:r>
          </w:p>
        </w:tc>
        <w:tc>
          <w:tcPr>
            <w:tcW w:type="dxa" w:w="446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R 原生统计代码、dplyr、tibble</w:t>
            </w:r>
          </w:p>
        </w:tc>
      </w:tr>
      <w:tr>
        <w:trPr>
          <w:cantSplit/>
        </w:trPr>
        <w:tc>
          <w:tcPr>
            <w:tcW w:type="dxa" w:w="1406"/>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4. 图表语义层</w:t>
            </w:r>
          </w:p>
        </w:tc>
        <w:tc>
          <w:tcPr>
            <w:tcW w:type="dxa" w:w="3790"/>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读取 ggplot layers、mapping、facet、scale、数据和标签。</w:t>
            </w:r>
          </w:p>
        </w:tc>
        <w:tc>
          <w:tcPr>
            <w:tcW w:type="dxa" w:w="446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ggplot2、rlang、vctrs</w:t>
            </w:r>
          </w:p>
        </w:tc>
      </w:tr>
      <w:tr>
        <w:trPr>
          <w:cantSplit/>
        </w:trPr>
        <w:tc>
          <w:tcPr>
            <w:tcW w:type="dxa" w:w="140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5. 知识检索层</w:t>
            </w:r>
          </w:p>
        </w:tc>
        <w:tc>
          <w:tcPr>
            <w:tcW w:type="dxa" w:w="3790"/>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获取基因、通路、细胞类型、数据库版本和文献证据。</w:t>
            </w:r>
          </w:p>
        </w:tc>
        <w:tc>
          <w:tcPr>
            <w:tcW w:type="dxa" w:w="446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GO、KEGG、Reactome、NCBI、文献检索接口</w:t>
            </w:r>
          </w:p>
        </w:tc>
      </w:tr>
      <w:tr>
        <w:trPr>
          <w:cantSplit/>
        </w:trPr>
        <w:tc>
          <w:tcPr>
            <w:tcW w:type="dxa" w:w="1406"/>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6. LLM 层</w:t>
            </w:r>
          </w:p>
        </w:tc>
        <w:tc>
          <w:tcPr>
            <w:tcW w:type="dxa" w:w="3790"/>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生成分层解释、错误原因说明、学习问题和报告段落。</w:t>
            </w:r>
          </w:p>
        </w:tc>
        <w:tc>
          <w:tcPr>
            <w:tcW w:type="dxa" w:w="446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ellmer、结构化输出、工具调用</w:t>
            </w:r>
          </w:p>
        </w:tc>
      </w:tr>
      <w:tr>
        <w:trPr>
          <w:cantSplit/>
        </w:trPr>
        <w:tc>
          <w:tcPr>
            <w:tcW w:type="dxa" w:w="140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7. 验证层</w:t>
            </w:r>
          </w:p>
        </w:tc>
        <w:tc>
          <w:tcPr>
            <w:tcW w:type="dxa" w:w="3790"/>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核对数字、证据引用、方向、限制和修复后对象。</w:t>
            </w:r>
          </w:p>
        </w:tc>
        <w:tc>
          <w:tcPr>
            <w:tcW w:type="dxa" w:w="446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规则引擎、schema 校验、重跑分析</w:t>
            </w:r>
          </w:p>
        </w:tc>
      </w:tr>
      <w:tr>
        <w:trPr>
          <w:cantSplit/>
        </w:trPr>
        <w:tc>
          <w:tcPr>
            <w:tcW w:type="dxa" w:w="1406"/>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8. 报告层</w:t>
            </w:r>
          </w:p>
        </w:tc>
        <w:tc>
          <w:tcPr>
            <w:tcW w:type="dxa" w:w="3790"/>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输出 HTML、Quarto、R Markdown、Markdown 或 Shiny 页面。</w:t>
            </w:r>
          </w:p>
        </w:tc>
        <w:tc>
          <w:tcPr>
            <w:tcW w:type="dxa" w:w="446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quarto、rmarkdown、shiny</w:t>
            </w:r>
          </w:p>
        </w:tc>
      </w:tr>
    </w:tbl>
    <w:p>
      <w:pPr>
        <w:spacing w:after="0"/>
      </w:pPr>
    </w:p>
    <w:p>
      <w:pPr>
        <w:pStyle w:val="Heading2"/>
        <w:keepNext/>
      </w:pPr>
      <w:r>
        <w:t>8.1 统一中间表示</w:t>
      </w:r>
    </w:p>
    <w:p>
      <w:pPr>
        <w:spacing w:after="100"/>
        <w:ind w:firstLine="420"/>
      </w:pPr>
      <w:r>
        <w:rPr>
          <w:rFonts w:ascii="Noto Sans CJK SC" w:hAnsi="Noto Sans CJK SC" w:eastAsia="Noto Sans CJK SC"/>
          <w:sz w:val="21"/>
        </w:rPr>
        <w:t>不同 R 包的对象结构差异很大，不建议让 LLM 直接读取每个对象的全部内容。可以先统一为一个轻量的解释对象：</w:t>
      </w:r>
    </w:p>
    <w:p>
      <w:pPr>
        <w:spacing w:before="60" w:after="140" w:line="240" w:lineRule="auto"/>
        <w:ind w:left="360" w:right="216"/>
        <w:shd w:fill="F2F4F7"/>
      </w:pPr>
      <w:r>
        <w:rPr>
          <w:rFonts w:ascii="Noto Sans Mono CJK SC" w:hAnsi="Noto Sans Mono CJK SC" w:eastAsia="Noto Sans Mono CJK SC"/>
          <w:color w:val="243447"/>
          <w:sz w:val="17"/>
        </w:rPr>
        <w:t>bio_context &lt;- list(</w:t>
        <w:br/>
        <w:t xml:space="preserve">  analysis_type = "differential_expression",</w:t>
        <w:br/>
        <w:t xml:space="preserve">  source_class = "DESeqResults",</w:t>
        <w:br/>
        <w:t xml:space="preserve">  source_package = "DESeq2",</w:t>
        <w:br/>
        <w:t xml:space="preserve">  design = "treated versus control",</w:t>
        <w:br/>
        <w:t xml:space="preserve">  statistics = list(n_tested = 18234, n_significant = 426,</w:t>
        <w:br/>
        <w:t xml:space="preserve">                    padj_cutoff = 0.05, lfc_cutoff = 1),</w:t>
        <w:br/>
        <w:t xml:space="preserve">  top_features = NULL,</w:t>
        <w:br/>
        <w:t xml:space="preserve">  plot_mapping = NULL,</w:t>
        <w:br/>
        <w:t xml:space="preserve">  provenance = NULL,</w:t>
        <w:br/>
        <w:t xml:space="preserve">  uncertainty = NULL</w:t>
        <w:br/>
        <w:t>)</w:t>
      </w:r>
    </w:p>
    <w:p>
      <w:pPr>
        <w:spacing w:after="100"/>
        <w:ind w:firstLine="420"/>
      </w:pPr>
      <w:r>
        <w:rPr>
          <w:rFonts w:ascii="Noto Sans CJK SC" w:hAnsi="Noto Sans CJK SC" w:eastAsia="Noto Sans CJK SC"/>
          <w:sz w:val="21"/>
        </w:rPr>
        <w:t>这个对象既可以被报告系统使用，也可以作为 LLM 的受控输入。这样做的好处是：不同上游软件的差异被适配器吸收；模型看到的是必要的结构化事实，而不是可能包含隐私或大量无关信息的整个工作区。</w:t>
      </w:r>
    </w:p>
    <w:p>
      <w:pPr>
        <w:spacing w:after="100"/>
        <w:ind w:firstLine="420"/>
      </w:pPr>
      <w:r>
        <w:rPr>
          <w:rFonts w:ascii="Noto Sans CJK SC" w:hAnsi="Noto Sans CJK SC" w:eastAsia="Noto Sans CJK SC"/>
          <w:sz w:val="21"/>
        </w:rPr>
        <w:t>中间表示还必须保存物种、组织、基因 ID、样本设计、比较方向、背景基因集、筛选阈值和数据来源关系。普通 data.frame 或 ggplot 可能来自多个工具，不能仅凭列名或加载的包推断确切来源；应输出“已记录来源”“推测类型”或“待用户补充”三种状态。</w:t>
      </w:r>
    </w:p>
    <w:p>
      <w:pPr>
        <w:pStyle w:val="Heading2"/>
        <w:keepNext/>
      </w:pPr>
      <w:r>
        <w:t>8.2 适配器优先级</w:t>
      </w:r>
    </w:p>
    <w:tbl>
      <w:tblPr>
        <w:tblStyle w:val="TableGrid"/>
        <w:tblW w:type="auto" w:w="0"/>
        <w:jc w:val="center"/>
        <w:tblLayout w:type="fixed"/>
        <w:tblLook w:firstColumn="1" w:firstRow="1" w:lastColumn="0" w:lastRow="0" w:noHBand="0" w:noVBand="1" w:val="04A0"/>
      </w:tblPr>
      <w:tblGrid>
        <w:gridCol w:w="917"/>
        <w:gridCol w:w="2568"/>
        <w:gridCol w:w="6174"/>
      </w:tblGrid>
      <w:tr>
        <w:trPr>
          <w:tblHeader/>
          <w:cantSplit/>
        </w:trPr>
        <w:tc>
          <w:tcPr>
            <w:tcW w:type="dxa" w:w="917"/>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6"/>
              </w:rPr>
              <w:t>优先级</w:t>
            </w:r>
          </w:p>
        </w:tc>
        <w:tc>
          <w:tcPr>
            <w:tcW w:type="dxa" w:w="2568"/>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6"/>
              </w:rPr>
              <w:t>对象/生态</w:t>
            </w:r>
          </w:p>
        </w:tc>
        <w:tc>
          <w:tcPr>
            <w:tcW w:type="dxa" w:w="6174"/>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6"/>
              </w:rPr>
              <w:t>第一版要提取的内容</w:t>
            </w:r>
          </w:p>
        </w:tc>
      </w:tr>
      <w:tr>
        <w:trPr>
          <w:cantSplit/>
        </w:trPr>
        <w:tc>
          <w:tcPr>
            <w:tcW w:type="dxa" w:w="91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高</w:t>
            </w:r>
          </w:p>
        </w:tc>
        <w:tc>
          <w:tcPr>
            <w:tcW w:type="dxa" w:w="256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DESeq2 / limma / edgeR</w:t>
            </w:r>
          </w:p>
        </w:tc>
        <w:tc>
          <w:tcPr>
            <w:tcW w:type="dxa" w:w="617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设计、比较方向、基因数、log2FC、p value、FDR、显著基因和异常值</w:t>
            </w:r>
          </w:p>
        </w:tc>
      </w:tr>
      <w:tr>
        <w:trPr>
          <w:cantSplit/>
        </w:trPr>
        <w:tc>
          <w:tcPr>
            <w:tcW w:type="dxa" w:w="917"/>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高</w:t>
            </w:r>
          </w:p>
        </w:tc>
        <w:tc>
          <w:tcPr>
            <w:tcW w:type="dxa" w:w="2568"/>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Seurat / SingleCellExperiment</w:t>
            </w:r>
          </w:p>
        </w:tc>
        <w:tc>
          <w:tcPr>
            <w:tcW w:type="dxa" w:w="617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细胞数、QC、assay、降维、cluster、marker、样本和细胞类型证据</w:t>
            </w:r>
          </w:p>
        </w:tc>
      </w:tr>
      <w:tr>
        <w:trPr>
          <w:cantSplit/>
        </w:trPr>
        <w:tc>
          <w:tcPr>
            <w:tcW w:type="dxa" w:w="91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高</w:t>
            </w:r>
          </w:p>
        </w:tc>
        <w:tc>
          <w:tcPr>
            <w:tcW w:type="dxa" w:w="256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clusterProfiler</w:t>
            </w:r>
          </w:p>
        </w:tc>
        <w:tc>
          <w:tcPr>
            <w:tcW w:type="dxa" w:w="617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数据库、富集方向、GeneRatio、p.adjust、核心基因和重复术语</w:t>
            </w:r>
          </w:p>
        </w:tc>
      </w:tr>
      <w:tr>
        <w:trPr>
          <w:cantSplit/>
        </w:trPr>
        <w:tc>
          <w:tcPr>
            <w:tcW w:type="dxa" w:w="917"/>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高</w:t>
            </w:r>
          </w:p>
        </w:tc>
        <w:tc>
          <w:tcPr>
            <w:tcW w:type="dxa" w:w="2568"/>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ggplot2</w:t>
            </w:r>
          </w:p>
        </w:tc>
        <w:tc>
          <w:tcPr>
            <w:tcW w:type="dxa" w:w="617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数据层、aes 映射、分组、分面、坐标尺度和标签</w:t>
            </w:r>
          </w:p>
        </w:tc>
      </w:tr>
      <w:tr>
        <w:trPr>
          <w:cantSplit/>
        </w:trPr>
        <w:tc>
          <w:tcPr>
            <w:tcW w:type="dxa" w:w="91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中</w:t>
            </w:r>
          </w:p>
        </w:tc>
        <w:tc>
          <w:tcPr>
            <w:tcW w:type="dxa" w:w="256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SummarizedExperiment</w:t>
            </w:r>
          </w:p>
        </w:tc>
        <w:tc>
          <w:tcPr>
            <w:tcW w:type="dxa" w:w="617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assay、rowData、colData、实验设计和矩阵维度</w:t>
            </w:r>
          </w:p>
        </w:tc>
      </w:tr>
      <w:tr>
        <w:trPr>
          <w:cantSplit/>
        </w:trPr>
        <w:tc>
          <w:tcPr>
            <w:tcW w:type="dxa" w:w="917"/>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后续</w:t>
            </w:r>
          </w:p>
        </w:tc>
        <w:tc>
          <w:tcPr>
            <w:tcW w:type="dxa" w:w="2568"/>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空间转录组、蛋白组、代谢组</w:t>
            </w:r>
          </w:p>
        </w:tc>
        <w:tc>
          <w:tcPr>
            <w:tcW w:type="dxa" w:w="617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根据对象成熟度和教学需求增加适配器</w:t>
            </w:r>
          </w:p>
        </w:tc>
      </w:tr>
    </w:tbl>
    <w:p>
      <w:pPr>
        <w:spacing w:after="0"/>
      </w:pPr>
    </w:p>
    <w:p>
      <w:pPr>
        <w:pStyle w:val="Heading1"/>
        <w:keepNext/>
      </w:pPr>
      <w:r>
        <w:t>九、R 对象读取与运行错误诊断设计</w:t>
      </w:r>
    </w:p>
    <w:p>
      <w:pPr>
        <w:spacing w:after="100"/>
        <w:ind w:firstLine="420"/>
      </w:pPr>
      <w:r>
        <w:rPr>
          <w:rFonts w:ascii="Noto Sans CJK SC" w:hAnsi="Noto Sans CJK SC" w:eastAsia="Noto Sans CJK SC"/>
          <w:sz w:val="21"/>
        </w:rPr>
        <w:t>以下 BioExplainR 名称和 bio_* 接口均为拟议 API 示例，尚未开发；它们用于描述期望的交互方式，不代表当前已有可安装的软件或可直接运行的完整代码。</w:t>
      </w:r>
    </w:p>
    <w:p>
      <w:pPr>
        <w:pStyle w:val="Heading2"/>
        <w:keepNext/>
      </w:pPr>
      <w:r>
        <w:t>9.1 被动读取模式</w:t>
      </w:r>
    </w:p>
    <w:p>
      <w:pPr>
        <w:spacing w:after="100"/>
        <w:ind w:firstLine="420"/>
      </w:pPr>
      <w:r>
        <w:rPr>
          <w:rFonts w:ascii="Noto Sans CJK SC" w:hAnsi="Noto Sans CJK SC" w:eastAsia="Noto Sans CJK SC"/>
          <w:sz w:val="21"/>
        </w:rPr>
        <w:t>用户已经完成分析后，可以直接传入对象。这个模式适合快速解释，但可获得的上游上下文有限。</w:t>
      </w:r>
    </w:p>
    <w:p>
      <w:pPr>
        <w:spacing w:before="60" w:after="140" w:line="240" w:lineRule="auto"/>
        <w:ind w:left="360" w:right="216"/>
        <w:shd w:fill="F2F4F7"/>
      </w:pPr>
      <w:r>
        <w:rPr>
          <w:rFonts w:ascii="Noto Sans Mono CJK SC" w:hAnsi="Noto Sans Mono CJK SC" w:eastAsia="Noto Sans Mono CJK SC"/>
          <w:color w:val="243447"/>
          <w:sz w:val="17"/>
        </w:rPr>
        <w:t>library(BioExplainR)</w:t>
        <w:br/>
        <w:br/>
        <w:t>bio_explain(deg, level = "undergraduate")</w:t>
        <w:br/>
        <w:t>bio_explain(enrich_res, evidence = "database_and_literature")</w:t>
        <w:br/>
        <w:t>bio_explain(seurat_obj, parts = c("qc", "clusters", "markers"))</w:t>
        <w:br/>
        <w:t>bio_explain(volcano_plot, cross_check = deg)</w:t>
        <w:br/>
        <w:t>bio_report(list(deg = deg, enrichment = enrich_res, plot = volcano_plot))</w:t>
      </w:r>
    </w:p>
    <w:p>
      <w:pPr>
        <w:pStyle w:val="Heading2"/>
        <w:keepNext/>
      </w:pPr>
      <w:r>
        <w:t>9.2 主动记录模式</w:t>
      </w:r>
    </w:p>
    <w:p>
      <w:pPr>
        <w:spacing w:after="100"/>
        <w:ind w:firstLine="420"/>
      </w:pPr>
      <w:r>
        <w:rPr>
          <w:rFonts w:ascii="Noto Sans CJK SC" w:hAnsi="Noto Sans CJK SC" w:eastAsia="Noto Sans CJK SC"/>
          <w:sz w:val="21"/>
        </w:rPr>
        <w:t>用户在运行代码前用记录器包裹分析过程，系统才能稳定保存调用栈、警告、对象变化和中间结果。</w:t>
      </w:r>
    </w:p>
    <w:p>
      <w:pPr>
        <w:spacing w:before="60" w:after="140" w:line="240" w:lineRule="auto"/>
        <w:ind w:left="360" w:right="216"/>
        <w:shd w:fill="F2F4F7"/>
      </w:pPr>
      <w:r>
        <w:rPr>
          <w:rFonts w:ascii="Noto Sans Mono CJK SC" w:hAnsi="Noto Sans Mono CJK SC" w:eastAsia="Noto Sans Mono CJK SC"/>
          <w:color w:val="243447"/>
          <w:sz w:val="17"/>
        </w:rPr>
        <w:t>run &lt;- bio_record({</w:t>
        <w:br/>
        <w:t xml:space="preserve">  dds &lt;- DESeq2::DESeq(dds)</w:t>
        <w:br/>
        <w:t xml:space="preserve">  deg &lt;- DESeq2::results(dds,</w:t>
        <w:br/>
        <w:t xml:space="preserve">    contrast = c("condition", "treated", "control"))</w:t>
        <w:br/>
        <w:t xml:space="preserve">  p &lt;- make_volcano(deg)</w:t>
        <w:br/>
        <w:t xml:space="preserve">  print(p)</w:t>
        <w:br/>
        <w:t>})</w:t>
        <w:br/>
        <w:br/>
        <w:t>bio_last_error(run)</w:t>
        <w:br/>
        <w:t>bio_explain_error(run)</w:t>
        <w:br/>
        <w:t>bio_suggest_fix(run)</w:t>
        <w:br/>
        <w:t>bio_validate_fix(run)</w:t>
      </w:r>
    </w:p>
    <w:p>
      <w:pPr>
        <w:spacing w:after="100"/>
        <w:ind w:firstLine="420"/>
      </w:pPr>
      <w:r>
        <w:rPr>
          <w:rFonts w:ascii="Noto Sans CJK SC" w:hAnsi="Noto Sans CJK SC" w:eastAsia="Noto Sans CJK SC"/>
          <w:sz w:val="21"/>
        </w:rPr>
        <w:t>make_volcano() 表示用户自己的绘图函数。ggplot 常在 build 或 print 时才触发映射错误，因此运行记录应包含实际渲染。捕获错误时宜先在 withCallingHandlers 的 calling handler 中收集栈，再由 tryCatch 收束；只在 tryCatch 的退出处理器内读取栈，可能已经丢失出错现场。参考 R 官方条件处理文档 [R27]。</w:t>
      </w:r>
    </w:p>
    <w:p>
      <w:pPr>
        <w:pStyle w:val="Heading2"/>
        <w:keepNext/>
      </w:pPr>
      <w:r>
        <w:t>9.3 错误诊断输出格式</w:t>
      </w:r>
    </w:p>
    <w:tbl>
      <w:tblPr>
        <w:tblStyle w:val="TableGrid"/>
        <w:tblW w:type="auto" w:w="0"/>
        <w:jc w:val="center"/>
        <w:tblLayout w:type="fixed"/>
        <w:tblLook w:firstColumn="1" w:firstRow="1" w:lastColumn="0" w:lastRow="0" w:noHBand="0" w:noVBand="1" w:val="04A0"/>
      </w:tblPr>
      <w:tblGrid>
        <w:gridCol w:w="1588"/>
        <w:gridCol w:w="8071"/>
      </w:tblGrid>
      <w:tr>
        <w:trPr>
          <w:tblHeader/>
          <w:cantSplit/>
        </w:trPr>
        <w:tc>
          <w:tcPr>
            <w:tcW w:type="dxa" w:w="1588"/>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输出部分</w:t>
            </w:r>
          </w:p>
        </w:tc>
        <w:tc>
          <w:tcPr>
            <w:tcW w:type="dxa" w:w="8071"/>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内容</w:t>
            </w:r>
          </w:p>
        </w:tc>
      </w:tr>
      <w:tr>
        <w:trPr>
          <w:cantSplit/>
        </w:trPr>
        <w:tc>
          <w:tcPr>
            <w:tcW w:type="dxa" w:w="158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定位</w:t>
            </w:r>
          </w:p>
        </w:tc>
        <w:tc>
          <w:tcPr>
            <w:tcW w:type="dxa" w:w="807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错误类别、错误信息、触发函数、文件/代码位置、调用栈。</w:t>
            </w:r>
          </w:p>
        </w:tc>
      </w:tr>
      <w:tr>
        <w:trPr>
          <w:cantSplit/>
        </w:trPr>
        <w:tc>
          <w:tcPr>
            <w:tcW w:type="dxa" w:w="1588"/>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上下文</w:t>
            </w:r>
          </w:p>
        </w:tc>
        <w:tc>
          <w:tcPr>
            <w:tcW w:type="dxa" w:w="807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R 版本、包版本、对象 class、维度、列名、factor 水平、基因 ID 类型。</w:t>
            </w:r>
          </w:p>
        </w:tc>
      </w:tr>
      <w:tr>
        <w:trPr>
          <w:cantSplit/>
        </w:trPr>
        <w:tc>
          <w:tcPr>
            <w:tcW w:type="dxa" w:w="158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原因</w:t>
            </w:r>
          </w:p>
        </w:tc>
        <w:tc>
          <w:tcPr>
            <w:tcW w:type="dxa" w:w="807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区分直接原因和潜在原因，例如缺列、对象类型不匹配、ID 无法映射、参数方向错误。</w:t>
            </w:r>
          </w:p>
        </w:tc>
      </w:tr>
      <w:tr>
        <w:trPr>
          <w:cantSplit/>
        </w:trPr>
        <w:tc>
          <w:tcPr>
            <w:tcW w:type="dxa" w:w="1588"/>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建议</w:t>
            </w:r>
          </w:p>
        </w:tc>
        <w:tc>
          <w:tcPr>
            <w:tcW w:type="dxa" w:w="807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给出最小修改、解释为什么修改、指出可能影响的统计或生物学含义。</w:t>
            </w:r>
          </w:p>
        </w:tc>
      </w:tr>
      <w:tr>
        <w:trPr>
          <w:cantSplit/>
        </w:trPr>
        <w:tc>
          <w:tcPr>
            <w:tcW w:type="dxa" w:w="158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验证</w:t>
            </w:r>
          </w:p>
        </w:tc>
        <w:tc>
          <w:tcPr>
            <w:tcW w:type="dxa" w:w="807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在隔离环境重跑，检查输出 class、维度、数值范围、比较方向和下游兼容性。</w:t>
            </w:r>
          </w:p>
        </w:tc>
      </w:tr>
      <w:tr>
        <w:trPr>
          <w:cantSplit/>
        </w:trPr>
        <w:tc>
          <w:tcPr>
            <w:tcW w:type="dxa" w:w="1588"/>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学习提示</w:t>
            </w:r>
          </w:p>
        </w:tc>
        <w:tc>
          <w:tcPr>
            <w:tcW w:type="dxa" w:w="807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用本科生能理解的语言解释该错误涉及的 R 概念和生信概念。</w:t>
            </w:r>
          </w:p>
        </w:tc>
      </w:tr>
    </w:tbl>
    <w:p>
      <w:pPr>
        <w:spacing w:after="0"/>
      </w:pPr>
    </w:p>
    <w:p>
      <w:pPr>
        <w:pStyle w:val="Heading2"/>
        <w:keepNext/>
      </w:pPr>
      <w:r>
        <w:t>9.4 必须特别处理的限制</w:t>
      </w:r>
    </w:p>
    <w:p>
      <w:pPr>
        <w:pStyle w:val="ListBullet"/>
        <w:spacing w:after="40"/>
        <w:ind w:left="403"/>
      </w:pPr>
      <w:r>
        <w:rPr>
          <w:rFonts w:ascii="Noto Sans CJK SC" w:hAnsi="Noto Sans CJK SC" w:eastAsia="Noto Sans CJK SC"/>
          <w:sz w:val="20"/>
        </w:rPr>
        <w:t>如果只在报错后加载解释包，系统可能无法恢复完整调用过程；因此应推荐 bio_record 主动记录。</w:t>
      </w:r>
    </w:p>
    <w:p>
      <w:pPr>
        <w:pStyle w:val="ListBullet"/>
        <w:spacing w:after="40"/>
        <w:ind w:left="403"/>
      </w:pPr>
      <w:r>
        <w:rPr>
          <w:rFonts w:ascii="Noto Sans CJK SC" w:hAnsi="Noto Sans CJK SC" w:eastAsia="Noto Sans CJK SC"/>
          <w:sz w:val="20"/>
        </w:rPr>
        <w:t>一个能运行的修复不一定是正确的修复。例如把 factor 转成 character 可能消除报错，但也可能改变分组顺序或比较方向。</w:t>
      </w:r>
    </w:p>
    <w:p>
      <w:pPr>
        <w:pStyle w:val="ListBullet"/>
        <w:spacing w:after="40"/>
        <w:ind w:left="403"/>
      </w:pPr>
      <w:r>
        <w:rPr>
          <w:rFonts w:ascii="Noto Sans CJK SC" w:hAnsi="Noto Sans CJK SC" w:eastAsia="Noto Sans CJK SC"/>
          <w:sz w:val="20"/>
        </w:rPr>
        <w:t>模型提出的代码必须在隔离 R 会话中执行，并通过对象结构、统计方向和生物学目的检查后才显示为“已验证建议”。</w:t>
      </w:r>
    </w:p>
    <w:p>
      <w:pPr>
        <w:pStyle w:val="ListBullet"/>
        <w:spacing w:after="40"/>
        <w:ind w:left="403"/>
      </w:pPr>
      <w:r>
        <w:rPr>
          <w:rFonts w:ascii="Noto Sans CJK SC" w:hAnsi="Noto Sans CJK SC" w:eastAsia="Noto Sans CJK SC"/>
          <w:sz w:val="20"/>
        </w:rPr>
        <w:t>上传云端模型前应默认脱敏：不发送患者标识、原始表达矩阵、样本名称和不必要的完整代码。</w:t>
      </w:r>
    </w:p>
    <w:p>
      <w:pPr>
        <w:pStyle w:val="Heading1"/>
        <w:keepNext/>
      </w:pPr>
      <w:r>
        <w:t>十、不同分析类型的解释规则</w:t>
      </w:r>
    </w:p>
    <w:tbl>
      <w:tblPr>
        <w:tblStyle w:val="TableGrid"/>
        <w:tblW w:type="auto" w:w="0"/>
        <w:jc w:val="center"/>
        <w:tblLayout w:type="fixed"/>
        <w:tblLook w:firstColumn="1" w:firstRow="1" w:lastColumn="0" w:lastRow="0" w:noHBand="0" w:noVBand="1" w:val="04A0"/>
      </w:tblPr>
      <w:tblGrid>
        <w:gridCol w:w="1355"/>
        <w:gridCol w:w="2474"/>
        <w:gridCol w:w="2591"/>
        <w:gridCol w:w="3239"/>
      </w:tblGrid>
      <w:tr>
        <w:trPr>
          <w:tblHeader/>
          <w:cantSplit/>
        </w:trPr>
        <w:tc>
          <w:tcPr>
            <w:tcW w:type="dxa" w:w="1355"/>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5"/>
              </w:rPr>
              <w:t>分析类型</w:t>
            </w:r>
          </w:p>
        </w:tc>
        <w:tc>
          <w:tcPr>
            <w:tcW w:type="dxa" w:w="2474"/>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5"/>
              </w:rPr>
              <w:t>确定性解析</w:t>
            </w:r>
          </w:p>
        </w:tc>
        <w:tc>
          <w:tcPr>
            <w:tcW w:type="dxa" w:w="2591"/>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5"/>
              </w:rPr>
              <w:t>本科生版解释重点</w:t>
            </w:r>
          </w:p>
        </w:tc>
        <w:tc>
          <w:tcPr>
            <w:tcW w:type="dxa" w:w="3239"/>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5"/>
              </w:rPr>
              <w:t>必须提醒的限制</w:t>
            </w:r>
          </w:p>
        </w:tc>
      </w:tr>
      <w:tr>
        <w:trPr>
          <w:cantSplit/>
        </w:trPr>
        <w:tc>
          <w:tcPr>
            <w:tcW w:type="dxa" w:w="1355"/>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PCA</w:t>
            </w:r>
          </w:p>
        </w:tc>
        <w:tc>
          <w:tcPr>
            <w:tcW w:type="dxa" w:w="247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样本在主成分上的坐标、方差解释率、分组分离。</w:t>
            </w:r>
          </w:p>
        </w:tc>
        <w:tc>
          <w:tcPr>
            <w:tcW w:type="dxa" w:w="259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样本整体表达模式是否相似，哪些变化贡献较大。</w:t>
            </w:r>
          </w:p>
        </w:tc>
        <w:tc>
          <w:tcPr>
            <w:tcW w:type="dxa" w:w="323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分离不等于生物机制；批次也可能造成分离。</w:t>
            </w:r>
          </w:p>
        </w:tc>
      </w:tr>
      <w:tr>
        <w:trPr>
          <w:cantSplit/>
        </w:trPr>
        <w:tc>
          <w:tcPr>
            <w:tcW w:type="dxa" w:w="1355"/>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差异表达</w:t>
            </w:r>
          </w:p>
        </w:tc>
        <w:tc>
          <w:tcPr>
            <w:tcW w:type="dxa" w:w="247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log2FC、p value、adjusted p value、显著基因数。</w:t>
            </w:r>
          </w:p>
        </w:tc>
        <w:tc>
          <w:tcPr>
            <w:tcW w:type="dxa" w:w="259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变化方向、变化大小和统计可靠性分别是什么。</w:t>
            </w:r>
          </w:p>
        </w:tc>
        <w:tc>
          <w:tcPr>
            <w:tcW w:type="dxa" w:w="323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p 值小不等于效应大；阈值和样本量影响结果。</w:t>
            </w:r>
          </w:p>
        </w:tc>
      </w:tr>
      <w:tr>
        <w:trPr>
          <w:cantSplit/>
        </w:trPr>
        <w:tc>
          <w:tcPr>
            <w:tcW w:type="dxa" w:w="1355"/>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火山图</w:t>
            </w:r>
          </w:p>
        </w:tc>
        <w:tc>
          <w:tcPr>
            <w:tcW w:type="dxa" w:w="247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横轴、纵轴、颜色、标签和筛选规则。</w:t>
            </w:r>
          </w:p>
        </w:tc>
        <w:tc>
          <w:tcPr>
            <w:tcW w:type="dxa" w:w="259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每个点是一个基因，左右表示方向，上下表示统计显著性。</w:t>
            </w:r>
          </w:p>
        </w:tc>
        <w:tc>
          <w:tcPr>
            <w:tcW w:type="dxa" w:w="323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图形标签不能替代完整结果表；坐标变换要解释。</w:t>
            </w:r>
          </w:p>
        </w:tc>
      </w:tr>
      <w:tr>
        <w:trPr>
          <w:cantSplit/>
        </w:trPr>
        <w:tc>
          <w:tcPr>
            <w:tcW w:type="dxa" w:w="1355"/>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富集分析</w:t>
            </w:r>
          </w:p>
        </w:tc>
        <w:tc>
          <w:tcPr>
            <w:tcW w:type="dxa" w:w="247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ORA 的 GeneRatio/Count/p.adjust，或 GSEA 的 NES/leading-edge。</w:t>
            </w:r>
          </w:p>
        </w:tc>
        <w:tc>
          <w:tcPr>
            <w:tcW w:type="dxa" w:w="259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基因是否集中于某通路，或沿排序呈正负富集。</w:t>
            </w:r>
          </w:p>
        </w:tc>
        <w:tc>
          <w:tcPr>
            <w:tcW w:type="dxa" w:w="323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ORA 无固有激活方向；GSEA 方向取决于排序，不能直接认定通路激活。</w:t>
            </w:r>
          </w:p>
        </w:tc>
      </w:tr>
      <w:tr>
        <w:trPr>
          <w:cantSplit/>
        </w:trPr>
        <w:tc>
          <w:tcPr>
            <w:tcW w:type="dxa" w:w="1355"/>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UMAP/t-SNE</w:t>
            </w:r>
          </w:p>
        </w:tc>
        <w:tc>
          <w:tcPr>
            <w:tcW w:type="dxa" w:w="247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坐标、cluster、邻近关系、marker 和样本组成。</w:t>
            </w:r>
          </w:p>
        </w:tc>
        <w:tc>
          <w:tcPr>
            <w:tcW w:type="dxa" w:w="259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相近点表示表达表示相似，但不是实际空间距离。</w:t>
            </w:r>
          </w:p>
        </w:tc>
        <w:tc>
          <w:tcPr>
            <w:tcW w:type="dxa" w:w="323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图形结构受参数影响，不能单独证明细胞谱系。</w:t>
            </w:r>
          </w:p>
        </w:tc>
      </w:tr>
      <w:tr>
        <w:trPr>
          <w:cantSplit/>
        </w:trPr>
        <w:tc>
          <w:tcPr>
            <w:tcW w:type="dxa" w:w="1355"/>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单细胞 marker</w:t>
            </w:r>
          </w:p>
        </w:tc>
        <w:tc>
          <w:tcPr>
            <w:tcW w:type="dxa" w:w="247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cluster 特异表达、正负 marker、细胞比例。</w:t>
            </w:r>
          </w:p>
        </w:tc>
        <w:tc>
          <w:tcPr>
            <w:tcW w:type="dxa" w:w="259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用多个 marker 的组合判断细胞类型，并说明依据。</w:t>
            </w:r>
          </w:p>
        </w:tc>
        <w:tc>
          <w:tcPr>
            <w:tcW w:type="dxa" w:w="3239"/>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marker 可能非特异；doublet、批次和组织背景会影响判断。</w:t>
            </w:r>
          </w:p>
        </w:tc>
      </w:tr>
      <w:tr>
        <w:trPr>
          <w:cantSplit/>
        </w:trPr>
        <w:tc>
          <w:tcPr>
            <w:tcW w:type="dxa" w:w="1355"/>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细胞比例</w:t>
            </w:r>
          </w:p>
        </w:tc>
        <w:tc>
          <w:tcPr>
            <w:tcW w:type="dxa" w:w="247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每个样本的细胞数、比例和重复间变异。</w:t>
            </w:r>
          </w:p>
        </w:tc>
        <w:tc>
          <w:tcPr>
            <w:tcW w:type="dxa" w:w="259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观察样本中细胞组成是否不同。</w:t>
            </w:r>
          </w:p>
        </w:tc>
        <w:tc>
          <w:tcPr>
            <w:tcW w:type="dxa" w:w="3239"/>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5"/>
              </w:rPr>
              <w:t>细胞数变化不等于真实组织比例变化，需考虑抽样和重复。</w:t>
            </w:r>
          </w:p>
        </w:tc>
      </w:tr>
    </w:tbl>
    <w:p>
      <w:pPr>
        <w:spacing w:after="0"/>
      </w:pPr>
    </w:p>
    <w:tbl>
      <w:tblPr>
        <w:tblW w:type="auto" w:w="0"/>
        <w:jc w:val="center"/>
        <w:tblLook w:firstColumn="1" w:firstRow="1" w:lastColumn="0" w:lastRow="0" w:noHBand="0" w:noVBand="1" w:val="04A0"/>
      </w:tblPr>
      <w:tblGrid>
        <w:gridCol w:w="9659"/>
      </w:tblGrid>
      <w:tr>
        <w:trPr>
          <w:cantSplit/>
        </w:trPr>
        <w:tc>
          <w:tcPr>
            <w:tcW w:type="dxa" w:w="9659"/>
            <w:shd w:fill="F3F6FA"/>
            <w:tcBorders>
              <w:top w:val="single" w:sz="8" w:color="5B9BD5"/>
              <w:left w:val="single" w:sz="8" w:color="5B9BD5"/>
              <w:bottom w:val="single" w:sz="8" w:color="5B9BD5"/>
              <w:right w:val="single" w:sz="8" w:color="5B9BD5"/>
            </w:tcBorders>
            <w:tcMar>
              <w:top w:w="140" w:type="dxa"/>
              <w:start w:w="160" w:type="dxa"/>
              <w:bottom w:w="140" w:type="dxa"/>
              <w:end w:w="160" w:type="dxa"/>
            </w:tcMar>
          </w:tcPr>
          <w:p>
            <w:pPr>
              <w:spacing w:after="40"/>
            </w:pPr>
            <w:r/>
            <w:r>
              <w:rPr>
                <w:rFonts w:ascii="Noto Sans CJK SC" w:hAnsi="Noto Sans CJK SC" w:eastAsia="Noto Sans CJK SC"/>
                <w:b/>
                <w:color w:val="1F4E78"/>
                <w:sz w:val="22"/>
              </w:rPr>
              <w:t>统一表达模板</w:t>
            </w:r>
          </w:p>
          <w:p>
            <w:pPr>
              <w:spacing w:after="0"/>
            </w:pPr>
            <w:r>
              <w:rPr>
                <w:rFonts w:ascii="Noto Sans CJK SC" w:hAnsi="Noto Sans CJK SC" w:eastAsia="Noto Sans CJK SC"/>
                <w:sz w:val="20"/>
              </w:rPr>
              <w:t>建议每个结论都按照“数据事实 → 统计事实 → 生物学解释 → 不确定性 → 不能推出的结论”五步生成。虚构示例：处理组 IL6 表达更高；log2FC 为 2.1 且调整后 p 值为 0.004；IL6 与炎症反应相关；该结论受样本量和模型设计限制；不能仅凭表达差异证明 IL6 导致了炎症。示例数字不是本报告分析得到的真实结果。</w:t>
            </w:r>
          </w:p>
        </w:tc>
      </w:tr>
    </w:tbl>
    <w:p>
      <w:pPr>
        <w:spacing w:after="20"/>
      </w:pPr>
    </w:p>
    <w:p>
      <w:pPr>
        <w:spacing w:after="100"/>
        <w:ind w:firstLine="420"/>
      </w:pPr>
      <w:r>
        <w:rPr>
          <w:rFonts w:ascii="Noto Sans CJK SC" w:hAnsi="Noto Sans CJK SC" w:eastAsia="Noto Sans CJK SC"/>
          <w:sz w:val="21"/>
        </w:rPr>
        <w:t>跨结果整合要记录数据依赖。由同一份差异基因列表产生的富集结果是派生证据，不属于独立验证；bulk 与单细胞结果方向一致也不能单独证明某细胞比例变化导致了整体表达变化。单细胞的样本/供体重复检查尤其重要，可参考 Squair 等对假发现的讨论 [R9]。</w:t>
      </w:r>
    </w:p>
    <w:p>
      <w:pPr>
        <w:pStyle w:val="Heading1"/>
        <w:keepNext/>
      </w:pPr>
      <w:r>
        <w:t>十一、最小可行版本与开发路线</w:t>
      </w:r>
    </w:p>
    <w:p>
      <w:pPr>
        <w:pStyle w:val="Heading2"/>
        <w:keepNext/>
      </w:pPr>
      <w:r>
        <w:t>11.1 第一版 MVP</w:t>
      </w:r>
    </w:p>
    <w:p>
      <w:pPr>
        <w:pStyle w:val="ListNumber"/>
        <w:spacing w:after="40"/>
      </w:pPr>
      <w:r>
        <w:rPr>
          <w:rFonts w:ascii="Noto Sans CJK SC" w:hAnsi="Noto Sans CJK SC" w:eastAsia="Noto Sans CJK SC"/>
          <w:sz w:val="20"/>
        </w:rPr>
        <w:t>支持 DESeq2、limma、edgeR、Seurat、SingleCellExperiment、clusterProfiler 和 ggplot2。</w:t>
      </w:r>
    </w:p>
    <w:p>
      <w:pPr>
        <w:pStyle w:val="ListNumber"/>
        <w:spacing w:after="40"/>
      </w:pPr>
      <w:r>
        <w:rPr>
          <w:rFonts w:ascii="Noto Sans CJK SC" w:hAnsi="Noto Sans CJK SC" w:eastAsia="Noto Sans CJK SC"/>
          <w:sz w:val="20"/>
        </w:rPr>
        <w:t>实现 bio_explain()，输出对象摘要、统计事实、白话解释、限制和证据。</w:t>
      </w:r>
    </w:p>
    <w:p>
      <w:pPr>
        <w:pStyle w:val="ListNumber"/>
        <w:spacing w:after="40"/>
      </w:pPr>
      <w:r>
        <w:rPr>
          <w:rFonts w:ascii="Noto Sans CJK SC" w:hAnsi="Noto Sans CJK SC" w:eastAsia="Noto Sans CJK SC"/>
          <w:sz w:val="20"/>
        </w:rPr>
        <w:t>实现 bio_record()，保存代码、错误、警告、对象摘要、调用栈和软件版本。</w:t>
      </w:r>
    </w:p>
    <w:p>
      <w:pPr>
        <w:pStyle w:val="ListNumber"/>
        <w:spacing w:after="40"/>
      </w:pPr>
      <w:r>
        <w:rPr>
          <w:rFonts w:ascii="Noto Sans CJK SC" w:hAnsi="Noto Sans CJK SC" w:eastAsia="Noto Sans CJK SC"/>
          <w:sz w:val="20"/>
        </w:rPr>
        <w:t>实现 bio_explain_error() 和 bio_suggest_fix()，先覆盖 10 类高频 R/生信错误。</w:t>
      </w:r>
    </w:p>
    <w:p>
      <w:pPr>
        <w:pStyle w:val="ListNumber"/>
        <w:spacing w:after="40"/>
      </w:pPr>
      <w:r>
        <w:rPr>
          <w:rFonts w:ascii="Noto Sans CJK SC" w:hAnsi="Noto Sans CJK SC" w:eastAsia="Noto Sans CJK SC"/>
          <w:sz w:val="20"/>
        </w:rPr>
        <w:t>输出 Quarto/HTML 报告，并保存输入摘要、参数、包版本和模型信息。</w:t>
      </w:r>
    </w:p>
    <w:p>
      <w:pPr>
        <w:pStyle w:val="Heading2"/>
        <w:keepNext/>
      </w:pPr>
      <w:r>
        <w:t>11.2 错误类型优先级</w:t>
      </w:r>
    </w:p>
    <w:tbl>
      <w:tblPr>
        <w:tblStyle w:val="TableGrid"/>
        <w:tblW w:type="auto" w:w="0"/>
        <w:jc w:val="center"/>
        <w:tblLayout w:type="fixed"/>
        <w:tblLook w:firstColumn="1" w:firstRow="1" w:lastColumn="0" w:lastRow="0" w:noHBand="0" w:noVBand="1" w:val="04A0"/>
      </w:tblPr>
      <w:tblGrid>
        <w:gridCol w:w="966"/>
        <w:gridCol w:w="2415"/>
        <w:gridCol w:w="6278"/>
      </w:tblGrid>
      <w:tr>
        <w:trPr>
          <w:tblHeader/>
          <w:cantSplit/>
        </w:trPr>
        <w:tc>
          <w:tcPr>
            <w:tcW w:type="dxa" w:w="966"/>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优先级</w:t>
            </w:r>
          </w:p>
        </w:tc>
        <w:tc>
          <w:tcPr>
            <w:tcW w:type="dxa" w:w="2415"/>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错误类型</w:t>
            </w:r>
          </w:p>
        </w:tc>
        <w:tc>
          <w:tcPr>
            <w:tcW w:type="dxa" w:w="6278"/>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示例</w:t>
            </w:r>
          </w:p>
        </w:tc>
      </w:tr>
      <w:tr>
        <w:trPr>
          <w:cantSplit/>
        </w:trPr>
        <w:tc>
          <w:tcPr>
            <w:tcW w:type="dxa" w:w="96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高</w:t>
            </w:r>
          </w:p>
        </w:tc>
        <w:tc>
          <w:tcPr>
            <w:tcW w:type="dxa" w:w="2415"/>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对象类型/槽位</w:t>
            </w:r>
          </w:p>
        </w:tc>
        <w:tc>
          <w:tcPr>
            <w:tcW w:type="dxa" w:w="627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把 data.frame 当成 Seurat 或访问不存在的 assay/slot。</w:t>
            </w:r>
          </w:p>
        </w:tc>
      </w:tr>
      <w:tr>
        <w:trPr>
          <w:cantSplit/>
        </w:trPr>
        <w:tc>
          <w:tcPr>
            <w:tcW w:type="dxa" w:w="966"/>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高</w:t>
            </w:r>
          </w:p>
        </w:tc>
        <w:tc>
          <w:tcPr>
            <w:tcW w:type="dxa" w:w="2415"/>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列名和维度</w:t>
            </w:r>
          </w:p>
        </w:tc>
        <w:tc>
          <w:tcPr>
            <w:tcW w:type="dxa" w:w="6278"/>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结果表缺少 gene、pvalue 或 log2FC 列，矩阵维度不一致。</w:t>
            </w:r>
          </w:p>
        </w:tc>
      </w:tr>
      <w:tr>
        <w:trPr>
          <w:cantSplit/>
        </w:trPr>
        <w:tc>
          <w:tcPr>
            <w:tcW w:type="dxa" w:w="96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高</w:t>
            </w:r>
          </w:p>
        </w:tc>
        <w:tc>
          <w:tcPr>
            <w:tcW w:type="dxa" w:w="2415"/>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基因 ID 映射</w:t>
            </w:r>
          </w:p>
        </w:tc>
        <w:tc>
          <w:tcPr>
            <w:tcW w:type="dxa" w:w="627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SYMBOL、ENTREZID、ENSEMBL 混用，导致富集结果为空。</w:t>
            </w:r>
          </w:p>
        </w:tc>
      </w:tr>
      <w:tr>
        <w:trPr>
          <w:cantSplit/>
        </w:trPr>
        <w:tc>
          <w:tcPr>
            <w:tcW w:type="dxa" w:w="966"/>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高</w:t>
            </w:r>
          </w:p>
        </w:tc>
        <w:tc>
          <w:tcPr>
            <w:tcW w:type="dxa" w:w="2415"/>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分组和比较方向</w:t>
            </w:r>
          </w:p>
        </w:tc>
        <w:tc>
          <w:tcPr>
            <w:tcW w:type="dxa" w:w="6278"/>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factor 水平不存在，treated/control 顺序反了。</w:t>
            </w:r>
          </w:p>
        </w:tc>
      </w:tr>
      <w:tr>
        <w:trPr>
          <w:cantSplit/>
        </w:trPr>
        <w:tc>
          <w:tcPr>
            <w:tcW w:type="dxa" w:w="96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中</w:t>
            </w:r>
          </w:p>
        </w:tc>
        <w:tc>
          <w:tcPr>
            <w:tcW w:type="dxa" w:w="2415"/>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包和版本</w:t>
            </w:r>
          </w:p>
        </w:tc>
        <w:tc>
          <w:tcPr>
            <w:tcW w:type="dxa" w:w="627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函数参数在不同版本中变化，依赖包未安装或命名空间冲突。</w:t>
            </w:r>
          </w:p>
        </w:tc>
      </w:tr>
      <w:tr>
        <w:trPr>
          <w:cantSplit/>
        </w:trPr>
        <w:tc>
          <w:tcPr>
            <w:tcW w:type="dxa" w:w="966"/>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中</w:t>
            </w:r>
          </w:p>
        </w:tc>
        <w:tc>
          <w:tcPr>
            <w:tcW w:type="dxa" w:w="2415"/>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数据质量</w:t>
            </w:r>
          </w:p>
        </w:tc>
        <w:tc>
          <w:tcPr>
            <w:tcW w:type="dxa" w:w="6278"/>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全是 NA、没有显著基因、样本量过低或输入没有重复。</w:t>
            </w:r>
          </w:p>
        </w:tc>
      </w:tr>
      <w:tr>
        <w:trPr>
          <w:cantSplit/>
        </w:trPr>
        <w:tc>
          <w:tcPr>
            <w:tcW w:type="dxa" w:w="96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后续</w:t>
            </w:r>
          </w:p>
        </w:tc>
        <w:tc>
          <w:tcPr>
            <w:tcW w:type="dxa" w:w="2415"/>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性能和环境</w:t>
            </w:r>
          </w:p>
        </w:tc>
        <w:tc>
          <w:tcPr>
            <w:tcW w:type="dxa" w:w="6278"/>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内存不足、并行失败、文件路径和系统依赖问题。</w:t>
            </w:r>
          </w:p>
        </w:tc>
      </w:tr>
    </w:tbl>
    <w:p>
      <w:pPr>
        <w:spacing w:after="0"/>
      </w:pPr>
    </w:p>
    <w:p>
      <w:pPr>
        <w:pStyle w:val="Heading2"/>
        <w:keepNext/>
      </w:pPr>
      <w:r>
        <w:t>11.3 分阶段路线</w:t>
      </w:r>
    </w:p>
    <w:tbl>
      <w:tblPr>
        <w:tblStyle w:val="TableGrid"/>
        <w:tblW w:type="auto" w:w="0"/>
        <w:jc w:val="center"/>
        <w:tblLayout w:type="fixed"/>
        <w:tblLook w:firstColumn="1" w:firstRow="1" w:lastColumn="0" w:lastRow="0" w:noHBand="0" w:noVBand="1" w:val="04A0"/>
      </w:tblPr>
      <w:tblGrid>
        <w:gridCol w:w="1871"/>
        <w:gridCol w:w="3864"/>
        <w:gridCol w:w="3924"/>
      </w:tblGrid>
      <w:tr>
        <w:trPr>
          <w:tblHeader/>
          <w:cantSplit/>
        </w:trPr>
        <w:tc>
          <w:tcPr>
            <w:tcW w:type="dxa" w:w="1871"/>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阶段</w:t>
            </w:r>
          </w:p>
        </w:tc>
        <w:tc>
          <w:tcPr>
            <w:tcW w:type="dxa" w:w="3864"/>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重点</w:t>
            </w:r>
          </w:p>
        </w:tc>
        <w:tc>
          <w:tcPr>
            <w:tcW w:type="dxa" w:w="3924"/>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交付物</w:t>
            </w:r>
          </w:p>
        </w:tc>
      </w:tr>
      <w:tr>
        <w:trPr>
          <w:cantSplit/>
        </w:trPr>
        <w:tc>
          <w:tcPr>
            <w:tcW w:type="dxa" w:w="187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阶段 1：对象解释</w:t>
            </w:r>
          </w:p>
        </w:tc>
        <w:tc>
          <w:tcPr>
            <w:tcW w:type="dxa" w:w="386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确定性提取和 4 类对象适配器。</w:t>
            </w:r>
          </w:p>
        </w:tc>
        <w:tc>
          <w:tcPr>
            <w:tcW w:type="dxa" w:w="392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R 包原型、对象摘要、基础 HTML 报告。</w:t>
            </w:r>
          </w:p>
        </w:tc>
      </w:tr>
      <w:tr>
        <w:trPr>
          <w:cantSplit/>
        </w:trPr>
        <w:tc>
          <w:tcPr>
            <w:tcW w:type="dxa" w:w="187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阶段 2：证据约束</w:t>
            </w:r>
          </w:p>
        </w:tc>
        <w:tc>
          <w:tcPr>
            <w:tcW w:type="dxa" w:w="386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接入 GO/KEGG/Reactome/文献检索和引用。</w:t>
            </w:r>
          </w:p>
        </w:tc>
        <w:tc>
          <w:tcPr>
            <w:tcW w:type="dxa" w:w="392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有证据链的结果解释，降低幻觉。</w:t>
            </w:r>
          </w:p>
        </w:tc>
      </w:tr>
      <w:tr>
        <w:trPr>
          <w:cantSplit/>
        </w:trPr>
        <w:tc>
          <w:tcPr>
            <w:tcW w:type="dxa" w:w="187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阶段 3：主动调试</w:t>
            </w:r>
          </w:p>
        </w:tc>
        <w:tc>
          <w:tcPr>
            <w:tcW w:type="dxa" w:w="386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执行记录、调用栈、错误分类和重跑验证。</w:t>
            </w:r>
          </w:p>
        </w:tc>
        <w:tc>
          <w:tcPr>
            <w:tcW w:type="dxa" w:w="392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错误诊断闭环和可验证修复。</w:t>
            </w:r>
          </w:p>
        </w:tc>
      </w:tr>
      <w:tr>
        <w:trPr>
          <w:cantSplit/>
        </w:trPr>
        <w:tc>
          <w:tcPr>
            <w:tcW w:type="dxa" w:w="1871"/>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阶段 4：跨结果整合</w:t>
            </w:r>
          </w:p>
        </w:tc>
        <w:tc>
          <w:tcPr>
            <w:tcW w:type="dxa" w:w="386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将 DEG、富集、单细胞和图表组成项目级证据链。</w:t>
            </w:r>
          </w:p>
        </w:tc>
        <w:tc>
          <w:tcPr>
            <w:tcW w:type="dxa" w:w="392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跨分析项目报告。</w:t>
            </w:r>
          </w:p>
        </w:tc>
      </w:tr>
      <w:tr>
        <w:trPr>
          <w:cantSplit/>
        </w:trPr>
        <w:tc>
          <w:tcPr>
            <w:tcW w:type="dxa" w:w="1871"/>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阶段 5：教学评估</w:t>
            </w:r>
          </w:p>
        </w:tc>
        <w:tc>
          <w:tcPr>
            <w:tcW w:type="dxa" w:w="386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本科生对照实验和教师评价。</w:t>
            </w:r>
          </w:p>
        </w:tc>
        <w:tc>
          <w:tcPr>
            <w:tcW w:type="dxa" w:w="392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教育效果数据和论文结果。</w:t>
            </w:r>
          </w:p>
        </w:tc>
      </w:tr>
    </w:tbl>
    <w:p>
      <w:pPr>
        <w:spacing w:after="0"/>
      </w:pPr>
    </w:p>
    <w:p>
      <w:pPr>
        <w:pStyle w:val="Heading1"/>
        <w:keepNext/>
      </w:pPr>
      <w:r>
        <w:t>十二、评测与论文验证方案</w:t>
      </w:r>
    </w:p>
    <w:p>
      <w:pPr>
        <w:spacing w:after="100"/>
        <w:ind w:firstLine="420"/>
      </w:pPr>
      <w:r>
        <w:rPr>
          <w:rFonts w:ascii="Noto Sans CJK SC" w:hAnsi="Noto Sans CJK SC" w:eastAsia="Noto Sans CJK SC"/>
          <w:sz w:val="21"/>
        </w:rPr>
        <w:t>如果只展示几个案例，论文很难证明工具有效。建议把系统评价拆成解释质量、错误修复和教学效果三个独立终点。</w:t>
      </w:r>
    </w:p>
    <w:p>
      <w:pPr>
        <w:spacing w:after="100"/>
        <w:ind w:firstLine="420"/>
      </w:pPr>
      <w:r>
        <w:rPr>
          <w:rFonts w:ascii="Noto Sans CJK SC" w:hAnsi="Noto Sans CJK SC" w:eastAsia="Noto Sans CJK SC"/>
          <w:sz w:val="21"/>
        </w:rPr>
        <w:t>比较条件应包括原始 R 输出、相同基础模型的直接聊天、仅对象摘要、对象摘要加证据检索，以及完整系统。对单细胞任务可增加 SCassist/GPTCelltype，对富集任务可增加 SummArIzeR/GeneAgent 等匹配任务基线。固定模型版本和输入预算，开展去除上下文、去除检索、去除验证的消融实验，以判断增益来自框架还是基础模型。</w:t>
      </w:r>
    </w:p>
    <w:p>
      <w:pPr>
        <w:pStyle w:val="Heading2"/>
        <w:keepNext/>
      </w:pPr>
      <w:r>
        <w:t>12.1 解释质量评测</w:t>
      </w:r>
    </w:p>
    <w:tbl>
      <w:tblPr>
        <w:tblStyle w:val="TableGrid"/>
        <w:tblW w:type="auto" w:w="0"/>
        <w:jc w:val="center"/>
        <w:tblLayout w:type="fixed"/>
        <w:tblLook w:firstColumn="1" w:firstRow="1" w:lastColumn="0" w:lastRow="0" w:noHBand="0" w:noVBand="1" w:val="04A0"/>
      </w:tblPr>
      <w:tblGrid>
        <w:gridCol w:w="1996"/>
        <w:gridCol w:w="7663"/>
      </w:tblGrid>
      <w:tr>
        <w:trPr>
          <w:tblHeader/>
          <w:cantSplit/>
        </w:trPr>
        <w:tc>
          <w:tcPr>
            <w:tcW w:type="dxa" w:w="1996"/>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指标</w:t>
            </w:r>
          </w:p>
        </w:tc>
        <w:tc>
          <w:tcPr>
            <w:tcW w:type="dxa" w:w="7663"/>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评测方法</w:t>
            </w:r>
          </w:p>
        </w:tc>
      </w:tr>
      <w:tr>
        <w:trPr>
          <w:cantSplit/>
        </w:trPr>
        <w:tc>
          <w:tcPr>
            <w:tcW w:type="dxa" w:w="199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数值准确性</w:t>
            </w:r>
          </w:p>
        </w:tc>
        <w:tc>
          <w:tcPr>
            <w:tcW w:type="dxa" w:w="766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将系统输出的基因数、方向、FDR、比例等与 R 直接计算结果逐项比对。</w:t>
            </w:r>
          </w:p>
        </w:tc>
      </w:tr>
      <w:tr>
        <w:trPr>
          <w:cantSplit/>
        </w:trPr>
        <w:tc>
          <w:tcPr>
            <w:tcW w:type="dxa" w:w="1996"/>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统计概念准确性</w:t>
            </w:r>
          </w:p>
        </w:tc>
        <w:tc>
          <w:tcPr>
            <w:tcW w:type="dxa" w:w="766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由生物统计或生信专家评价 p value、FDR、fold change、富集等解释。</w:t>
            </w:r>
          </w:p>
        </w:tc>
      </w:tr>
      <w:tr>
        <w:trPr>
          <w:cantSplit/>
        </w:trPr>
        <w:tc>
          <w:tcPr>
            <w:tcW w:type="dxa" w:w="199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生物学合理性</w:t>
            </w:r>
          </w:p>
        </w:tc>
        <w:tc>
          <w:tcPr>
            <w:tcW w:type="dxa" w:w="766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专家评价通路、细胞类型和基因功能解释是否有证据支持。</w:t>
            </w:r>
          </w:p>
        </w:tc>
      </w:tr>
      <w:tr>
        <w:trPr>
          <w:cantSplit/>
        </w:trPr>
        <w:tc>
          <w:tcPr>
            <w:tcW w:type="dxa" w:w="1996"/>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证据可追溯性</w:t>
            </w:r>
          </w:p>
        </w:tc>
        <w:tc>
          <w:tcPr>
            <w:tcW w:type="dxa" w:w="766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每个关键结论是否能回到输入对象、数据库条目或文献。</w:t>
            </w:r>
          </w:p>
        </w:tc>
      </w:tr>
      <w:tr>
        <w:trPr>
          <w:cantSplit/>
        </w:trPr>
        <w:tc>
          <w:tcPr>
            <w:tcW w:type="dxa" w:w="1996"/>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不确定性表达</w:t>
            </w:r>
          </w:p>
        </w:tc>
        <w:tc>
          <w:tcPr>
            <w:tcW w:type="dxa" w:w="7663"/>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是否明确区分观察、关联、推断和因果结论。</w:t>
            </w:r>
          </w:p>
        </w:tc>
      </w:tr>
      <w:tr>
        <w:trPr>
          <w:cantSplit/>
        </w:trPr>
        <w:tc>
          <w:tcPr>
            <w:tcW w:type="dxa" w:w="1996"/>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可读性</w:t>
            </w:r>
          </w:p>
        </w:tc>
        <w:tc>
          <w:tcPr>
            <w:tcW w:type="dxa" w:w="7663"/>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本科生能否准确回答图表解读问题，或使用阅读量表评分。</w:t>
            </w:r>
          </w:p>
        </w:tc>
      </w:tr>
    </w:tbl>
    <w:p>
      <w:pPr>
        <w:spacing w:after="0"/>
      </w:pPr>
    </w:p>
    <w:p>
      <w:pPr>
        <w:pStyle w:val="Heading2"/>
        <w:keepNext/>
      </w:pPr>
      <w:r>
        <w:t>12.2 错误修复评测</w:t>
      </w:r>
    </w:p>
    <w:p>
      <w:pPr>
        <w:pStyle w:val="ListBullet"/>
        <w:spacing w:after="40"/>
        <w:ind w:left="403"/>
      </w:pPr>
      <w:r>
        <w:rPr>
          <w:rFonts w:ascii="Noto Sans CJK SC" w:hAnsi="Noto Sans CJK SC" w:eastAsia="Noto Sans CJK SC"/>
          <w:sz w:val="20"/>
        </w:rPr>
        <w:t>错误定位率：是否找到真正触发错误的调用和代码位置。</w:t>
      </w:r>
    </w:p>
    <w:p>
      <w:pPr>
        <w:pStyle w:val="ListBullet"/>
        <w:spacing w:after="40"/>
        <w:ind w:left="403"/>
      </w:pPr>
      <w:r>
        <w:rPr>
          <w:rFonts w:ascii="Noto Sans CJK SC" w:hAnsi="Noto Sans CJK SC" w:eastAsia="Noto Sans CJK SC"/>
          <w:sz w:val="20"/>
        </w:rPr>
        <w:t>原因解释准确率：是否识别对象、参数、ID、分组或版本问题。</w:t>
      </w:r>
    </w:p>
    <w:p>
      <w:pPr>
        <w:pStyle w:val="ListBullet"/>
        <w:spacing w:after="40"/>
        <w:ind w:left="403"/>
      </w:pPr>
      <w:r>
        <w:rPr>
          <w:rFonts w:ascii="Noto Sans CJK SC" w:hAnsi="Noto Sans CJK SC" w:eastAsia="Noto Sans CJK SC"/>
          <w:sz w:val="20"/>
        </w:rPr>
        <w:t>修复可运行率：修复代码在隔离环境中是否成功执行。</w:t>
      </w:r>
    </w:p>
    <w:p>
      <w:pPr>
        <w:pStyle w:val="ListBullet"/>
        <w:spacing w:after="40"/>
        <w:ind w:left="403"/>
      </w:pPr>
      <w:r>
        <w:rPr>
          <w:rFonts w:ascii="Noto Sans CJK SC" w:hAnsi="Noto Sans CJK SC" w:eastAsia="Noto Sans CJK SC"/>
          <w:sz w:val="20"/>
        </w:rPr>
        <w:t>语义保持率：修复前后的比较方向、设计矩阵、输出类型和生物学目标是否一致。</w:t>
      </w:r>
    </w:p>
    <w:p>
      <w:pPr>
        <w:pStyle w:val="ListBullet"/>
        <w:spacing w:after="40"/>
        <w:ind w:left="403"/>
      </w:pPr>
      <w:r>
        <w:rPr>
          <w:rFonts w:ascii="Noto Sans CJK SC" w:hAnsi="Noto Sans CJK SC" w:eastAsia="Noto Sans CJK SC"/>
          <w:sz w:val="20"/>
        </w:rPr>
        <w:t>无效修复拒绝率：当错误无法安全自动修复时，系统是否能明确拒绝而不是给出貌似确定的建议。</w:t>
      </w:r>
    </w:p>
    <w:p>
      <w:pPr>
        <w:pStyle w:val="Heading2"/>
        <w:keepNext/>
      </w:pPr>
      <w:r>
        <w:t>12.3 教学效果评测</w:t>
      </w:r>
    </w:p>
    <w:p>
      <w:pPr>
        <w:spacing w:after="100"/>
        <w:ind w:firstLine="420"/>
      </w:pPr>
      <w:r>
        <w:rPr>
          <w:rFonts w:ascii="Noto Sans CJK SC" w:hAnsi="Noto Sans CJK SC" w:eastAsia="Noto Sans CJK SC"/>
          <w:sz w:val="21"/>
        </w:rPr>
        <w:t>可设计本科生前测-后测或随机对照实验。一组使用普通 R 输出，另一组使用解释报告。测试内容应覆盖 PCA、火山图、富集图、UMAP、FDR 和常见 R 错误。</w:t>
      </w:r>
    </w:p>
    <w:p>
      <w:pPr>
        <w:spacing w:after="100"/>
        <w:ind w:firstLine="420"/>
      </w:pPr>
      <w:r>
        <w:rPr>
          <w:rFonts w:ascii="Noto Sans CJK SC" w:hAnsi="Noto Sans CJK SC" w:eastAsia="Noto Sans CJK SC"/>
          <w:sz w:val="21"/>
        </w:rPr>
        <w:t>尽量按学生基础分层随机分组，使用相同任务和相同操作时间，评阅者对分组盲法；预先确定主要终点并依据预试验做样本量估计。除即时测验外，应加入不使用工具的新数据迁移测验和延迟测验，避免把“看着报告能答题”误认为独立理解。报告效应量和置信区间，不仅报告 p 值。</w:t>
      </w:r>
    </w:p>
    <w:tbl>
      <w:tblPr>
        <w:tblStyle w:val="TableGrid"/>
        <w:tblW w:type="auto" w:w="0"/>
        <w:jc w:val="center"/>
        <w:tblLayout w:type="fixed"/>
        <w:tblLook w:firstColumn="1" w:firstRow="1" w:lastColumn="0" w:lastRow="0" w:noHBand="0" w:noVBand="1" w:val="04A0"/>
      </w:tblPr>
      <w:tblGrid>
        <w:gridCol w:w="1932"/>
        <w:gridCol w:w="7727"/>
      </w:tblGrid>
      <w:tr>
        <w:trPr>
          <w:tblHeader/>
          <w:cantSplit/>
        </w:trPr>
        <w:tc>
          <w:tcPr>
            <w:tcW w:type="dxa" w:w="1932"/>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终点</w:t>
            </w:r>
          </w:p>
        </w:tc>
        <w:tc>
          <w:tcPr>
            <w:tcW w:type="dxa" w:w="7727"/>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7"/>
              </w:rPr>
              <w:t>可操作指标</w:t>
            </w:r>
          </w:p>
        </w:tc>
      </w:tr>
      <w:tr>
        <w:trPr>
          <w:cantSplit/>
        </w:trPr>
        <w:tc>
          <w:tcPr>
            <w:tcW w:type="dxa" w:w="1932"/>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知识获得</w:t>
            </w:r>
          </w:p>
        </w:tc>
        <w:tc>
          <w:tcPr>
            <w:tcW w:type="dxa" w:w="772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前后测分数、概念判断正确率、统计术语解释正确率。</w:t>
            </w:r>
          </w:p>
        </w:tc>
      </w:tr>
      <w:tr>
        <w:trPr>
          <w:cantSplit/>
        </w:trPr>
        <w:tc>
          <w:tcPr>
            <w:tcW w:type="dxa" w:w="1932"/>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结果解释</w:t>
            </w:r>
          </w:p>
        </w:tc>
        <w:tc>
          <w:tcPr>
            <w:tcW w:type="dxa" w:w="7727"/>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对新数据集解释方向、显著性、限制和不能推出结论的能力。</w:t>
            </w:r>
          </w:p>
        </w:tc>
      </w:tr>
      <w:tr>
        <w:trPr>
          <w:cantSplit/>
        </w:trPr>
        <w:tc>
          <w:tcPr>
            <w:tcW w:type="dxa" w:w="1932"/>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错误排查</w:t>
            </w:r>
          </w:p>
        </w:tc>
        <w:tc>
          <w:tcPr>
            <w:tcW w:type="dxa" w:w="772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找到代码错误位置、提出合理修复并说明影响的能力。</w:t>
            </w:r>
          </w:p>
        </w:tc>
      </w:tr>
      <w:tr>
        <w:trPr>
          <w:cantSplit/>
        </w:trPr>
        <w:tc>
          <w:tcPr>
            <w:tcW w:type="dxa" w:w="1932"/>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效率</w:t>
            </w:r>
          </w:p>
        </w:tc>
        <w:tc>
          <w:tcPr>
            <w:tcW w:type="dxa" w:w="7727"/>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完成任务时间、求助次数、重复运行次数。</w:t>
            </w:r>
          </w:p>
        </w:tc>
      </w:tr>
      <w:tr>
        <w:trPr>
          <w:cantSplit/>
        </w:trPr>
        <w:tc>
          <w:tcPr>
            <w:tcW w:type="dxa" w:w="1932"/>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批判性使用 AI</w:t>
            </w:r>
          </w:p>
        </w:tc>
        <w:tc>
          <w:tcPr>
            <w:tcW w:type="dxa" w:w="7727"/>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7"/>
              </w:rPr>
              <w:t>能否识别报告中的不确定性、要求证据并拒绝过度结论。</w:t>
            </w:r>
          </w:p>
        </w:tc>
      </w:tr>
    </w:tbl>
    <w:p>
      <w:pPr>
        <w:spacing w:after="0"/>
      </w:pPr>
    </w:p>
    <w:tbl>
      <w:tblPr>
        <w:tblW w:type="auto" w:w="0"/>
        <w:jc w:val="center"/>
        <w:tblLook w:firstColumn="1" w:firstRow="1" w:lastColumn="0" w:lastRow="0" w:noHBand="0" w:noVBand="1" w:val="04A0"/>
      </w:tblPr>
      <w:tblGrid>
        <w:gridCol w:w="9659"/>
      </w:tblGrid>
      <w:tr>
        <w:trPr>
          <w:cantSplit/>
        </w:trPr>
        <w:tc>
          <w:tcPr>
            <w:tcW w:type="dxa" w:w="9659"/>
            <w:shd w:fill="E2F0D9"/>
            <w:tcBorders>
              <w:top w:val="single" w:sz="8" w:color="5B9BD5"/>
              <w:left w:val="single" w:sz="8" w:color="5B9BD5"/>
              <w:bottom w:val="single" w:sz="8" w:color="5B9BD5"/>
              <w:right w:val="single" w:sz="8" w:color="5B9BD5"/>
            </w:tcBorders>
            <w:tcMar>
              <w:top w:w="140" w:type="dxa"/>
              <w:start w:w="160" w:type="dxa"/>
              <w:bottom w:w="140" w:type="dxa"/>
              <w:end w:w="160" w:type="dxa"/>
            </w:tcMar>
          </w:tcPr>
          <w:p>
            <w:pPr>
              <w:spacing w:after="40"/>
            </w:pPr>
            <w:r/>
            <w:r>
              <w:rPr>
                <w:rFonts w:ascii="Noto Sans CJK SC" w:hAnsi="Noto Sans CJK SC" w:eastAsia="Noto Sans CJK SC"/>
                <w:b/>
                <w:color w:val="1F4E78"/>
                <w:sz w:val="22"/>
              </w:rPr>
              <w:t>建议的研究假设</w:t>
            </w:r>
          </w:p>
          <w:p>
            <w:pPr>
              <w:spacing w:after="0"/>
            </w:pPr>
            <w:r>
              <w:rPr>
                <w:rFonts w:ascii="Noto Sans CJK SC" w:hAnsi="Noto Sans CJK SC" w:eastAsia="Noto Sans CJK SC"/>
                <w:sz w:val="20"/>
              </w:rPr>
              <w:t>与仅提供原始 R 输出相比，使用证据约束的分层解释报告能够提高本科生对生信图表和统计结果的解释准确率，并减少把相关关系误写为因果关系的错误；主动运行记录能够提高 R 错误定位和语义保持修复的成功率。</w:t>
            </w:r>
          </w:p>
        </w:tc>
      </w:tr>
    </w:tbl>
    <w:p>
      <w:pPr>
        <w:spacing w:after="20"/>
      </w:pPr>
    </w:p>
    <w:p>
      <w:pPr>
        <w:pStyle w:val="Heading1"/>
        <w:keepNext/>
      </w:pPr>
      <w:r>
        <w:t>十三、风险、边界与实施建议</w:t>
      </w:r>
    </w:p>
    <w:tbl>
      <w:tblPr>
        <w:tblStyle w:val="TableGrid"/>
        <w:tblW w:type="auto" w:w="0"/>
        <w:jc w:val="center"/>
        <w:tblLayout w:type="fixed"/>
        <w:tblLook w:firstColumn="1" w:firstRow="1" w:lastColumn="0" w:lastRow="0" w:noHBand="0" w:noVBand="1" w:val="04A0"/>
      </w:tblPr>
      <w:tblGrid>
        <w:gridCol w:w="1610"/>
        <w:gridCol w:w="3284"/>
        <w:gridCol w:w="4765"/>
      </w:tblGrid>
      <w:tr>
        <w:trPr>
          <w:tblHeader/>
          <w:cantSplit/>
        </w:trPr>
        <w:tc>
          <w:tcPr>
            <w:tcW w:type="dxa" w:w="1610"/>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6"/>
              </w:rPr>
              <w:t>风险</w:t>
            </w:r>
          </w:p>
        </w:tc>
        <w:tc>
          <w:tcPr>
            <w:tcW w:type="dxa" w:w="3284"/>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6"/>
              </w:rPr>
              <w:t>表现</w:t>
            </w:r>
          </w:p>
        </w:tc>
        <w:tc>
          <w:tcPr>
            <w:tcW w:type="dxa" w:w="4765"/>
            <w:vAlign w:val="center"/>
            <w:tcMar>
              <w:top w:w="90" w:type="dxa"/>
              <w:start w:w="100" w:type="dxa"/>
              <w:bottom w:w="90" w:type="dxa"/>
              <w:end w:w="100" w:type="dxa"/>
            </w:tcMar>
            <w:shd w:fill="1F4E78"/>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color w:val="FFFFFF"/>
                <w:sz w:val="16"/>
              </w:rPr>
              <w:t>建议</w:t>
            </w:r>
          </w:p>
        </w:tc>
      </w:tr>
      <w:tr>
        <w:trPr>
          <w:cantSplit/>
        </w:trPr>
        <w:tc>
          <w:tcPr>
            <w:tcW w:type="dxa" w:w="1610"/>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生物学幻觉</w:t>
            </w:r>
          </w:p>
        </w:tc>
        <w:tc>
          <w:tcPr>
            <w:tcW w:type="dxa" w:w="328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模型编造通路功能、基因关系或文献。</w:t>
            </w:r>
          </w:p>
        </w:tc>
        <w:tc>
          <w:tcPr>
            <w:tcW w:type="dxa" w:w="4765"/>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数据库检索、文献引用、事实/推断分层、专家抽样审核。</w:t>
            </w:r>
          </w:p>
        </w:tc>
      </w:tr>
      <w:tr>
        <w:trPr>
          <w:cantSplit/>
        </w:trPr>
        <w:tc>
          <w:tcPr>
            <w:tcW w:type="dxa" w:w="1610"/>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统计误读</w:t>
            </w:r>
          </w:p>
        </w:tc>
        <w:tc>
          <w:tcPr>
            <w:tcW w:type="dxa" w:w="328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把 p value 当效应大小，把富集当通路激活。</w:t>
            </w:r>
          </w:p>
        </w:tc>
        <w:tc>
          <w:tcPr>
            <w:tcW w:type="dxa" w:w="4765"/>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由 R 先提取统计事实，模板化解释并加入反例。</w:t>
            </w:r>
          </w:p>
        </w:tc>
      </w:tr>
      <w:tr>
        <w:trPr>
          <w:cantSplit/>
        </w:trPr>
        <w:tc>
          <w:tcPr>
            <w:tcW w:type="dxa" w:w="1610"/>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代码修复副作用</w:t>
            </w:r>
          </w:p>
        </w:tc>
        <w:tc>
          <w:tcPr>
            <w:tcW w:type="dxa" w:w="328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代码能运行但比较方向或设计改变。</w:t>
            </w:r>
          </w:p>
        </w:tc>
        <w:tc>
          <w:tcPr>
            <w:tcW w:type="dxa" w:w="4765"/>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保存原始目标，修复后重跑并做语义检查。</w:t>
            </w:r>
          </w:p>
        </w:tc>
      </w:tr>
      <w:tr>
        <w:trPr>
          <w:cantSplit/>
        </w:trPr>
        <w:tc>
          <w:tcPr>
            <w:tcW w:type="dxa" w:w="1610"/>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数据隐私</w:t>
            </w:r>
          </w:p>
        </w:tc>
        <w:tc>
          <w:tcPr>
            <w:tcW w:type="dxa" w:w="328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表达矩阵、样本名或临床信息上传云端。</w:t>
            </w:r>
          </w:p>
        </w:tc>
        <w:tc>
          <w:tcPr>
            <w:tcW w:type="dxa" w:w="4765"/>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默认脱敏、摘要化输入、本地模型选项、API 日志策略。</w:t>
            </w:r>
          </w:p>
        </w:tc>
      </w:tr>
      <w:tr>
        <w:trPr>
          <w:cantSplit/>
        </w:trPr>
        <w:tc>
          <w:tcPr>
            <w:tcW w:type="dxa" w:w="1610"/>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过度依赖 AI</w:t>
            </w:r>
          </w:p>
        </w:tc>
        <w:tc>
          <w:tcPr>
            <w:tcW w:type="dxa" w:w="3284"/>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学生直接复制报告，不再理解方法。</w:t>
            </w:r>
          </w:p>
        </w:tc>
        <w:tc>
          <w:tcPr>
            <w:tcW w:type="dxa" w:w="4765"/>
            <w:vAlign w:val="center"/>
            <w:tcMar>
              <w:top w:w="90" w:type="dxa"/>
              <w:start w:w="100" w:type="dxa"/>
              <w:bottom w:w="90" w:type="dxa"/>
              <w:end w:w="100" w:type="dxa"/>
            </w:tcMar>
            <w:shd w:fill="F7F9FB"/>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分层教学、展示证据和限制、生成追问而非只给结论。</w:t>
            </w:r>
          </w:p>
        </w:tc>
      </w:tr>
      <w:tr>
        <w:trPr>
          <w:cantSplit/>
        </w:trPr>
        <w:tc>
          <w:tcPr>
            <w:tcW w:type="dxa" w:w="1610"/>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对象兼容性</w:t>
            </w:r>
          </w:p>
        </w:tc>
        <w:tc>
          <w:tcPr>
            <w:tcW w:type="dxa" w:w="3284"/>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不同包版本和对象结构导致适配器失效。</w:t>
            </w:r>
          </w:p>
        </w:tc>
        <w:tc>
          <w:tcPr>
            <w:tcW w:type="dxa" w:w="4765"/>
            <w:vAlign w:val="center"/>
            <w:tcMar>
              <w:top w:w="90" w:type="dxa"/>
              <w:start w:w="100" w:type="dxa"/>
              <w:bottom w:w="90" w:type="dxa"/>
              <w:end w:w="100" w:type="dxa"/>
            </w:tcMar>
            <w:shd w:fill="FFFFFF"/>
            <w:tcBorders>
              <w:top w:val="single" w:sz="4" w:color="D9E2F3"/>
              <w:left w:val="single" w:sz="4" w:color="D9E2F3"/>
              <w:bottom w:val="single" w:sz="4" w:color="D9E2F3"/>
              <w:right w:val="single" w:sz="4" w:color="D9E2F3"/>
            </w:tcBorders>
          </w:tcPr>
          <w:p>
            <w:pPr>
              <w:spacing w:after="0" w:line="252" w:lineRule="auto"/>
            </w:pPr>
            <w:r/>
            <w:r>
              <w:rPr>
                <w:rFonts w:ascii="Noto Sans CJK SC" w:hAnsi="Noto Sans CJK SC" w:eastAsia="Noto Sans CJK SC"/>
                <w:b w:val="0"/>
                <w:sz w:val="16"/>
              </w:rPr>
              <w:t>记录版本、适配器测试矩阵、失败时明确降级。</w:t>
            </w:r>
          </w:p>
        </w:tc>
      </w:tr>
    </w:tbl>
    <w:p>
      <w:pPr>
        <w:spacing w:after="0"/>
      </w:pPr>
    </w:p>
    <w:p>
      <w:pPr>
        <w:spacing w:after="100"/>
        <w:ind w:firstLine="420"/>
      </w:pPr>
      <w:r>
        <w:rPr>
          <w:rFonts w:ascii="Noto Sans CJK SC" w:hAnsi="Noto Sans CJK SC" w:eastAsia="Noto Sans CJK SC"/>
          <w:sz w:val="21"/>
        </w:rPr>
        <w:t>从教学角度，系统不应只给出最终答案。更好的输出是“答案 + 依据 + 限制 + 反思问题”，例如要求学生指出哪一部分来自数据、哪一部分是知识库事实、哪一部分仍然需要实验验证。</w:t>
      </w:r>
    </w:p>
    <w:p>
      <w:pPr>
        <w:pStyle w:val="Heading1"/>
        <w:keepNext/>
      </w:pPr>
      <w:r>
        <w:t>十四、开题或论文可使用的研究问题</w:t>
      </w:r>
    </w:p>
    <w:p>
      <w:pPr>
        <w:pStyle w:val="ListBullet"/>
        <w:spacing w:after="40"/>
        <w:ind w:left="403"/>
      </w:pPr>
      <w:r>
        <w:rPr>
          <w:rFonts w:ascii="Noto Sans CJK SC" w:hAnsi="Noto Sans CJK SC" w:eastAsia="Noto Sans CJK SC"/>
          <w:sz w:val="20"/>
        </w:rPr>
        <w:t>如何将 Seurat、DESeq2、limma、edgeR、clusterProfiler 和 ggplot2 对象统一编码为适合 LLM 解释的中间表示？</w:t>
      </w:r>
    </w:p>
    <w:p>
      <w:pPr>
        <w:pStyle w:val="ListBullet"/>
        <w:spacing w:after="40"/>
        <w:ind w:left="403"/>
      </w:pPr>
      <w:r>
        <w:rPr>
          <w:rFonts w:ascii="Noto Sans CJK SC" w:hAnsi="Noto Sans CJK SC" w:eastAsia="Noto Sans CJK SC"/>
          <w:sz w:val="20"/>
        </w:rPr>
        <w:t>确定性统计提取、数据库检索和结构化提示是否能够降低生物信息学结果解释中的事实错误和过度推断？</w:t>
      </w:r>
    </w:p>
    <w:p>
      <w:pPr>
        <w:pStyle w:val="ListBullet"/>
        <w:spacing w:after="40"/>
        <w:ind w:left="403"/>
      </w:pPr>
      <w:r>
        <w:rPr>
          <w:rFonts w:ascii="Noto Sans CJK SC" w:hAnsi="Noto Sans CJK SC" w:eastAsia="Noto Sans CJK SC"/>
          <w:sz w:val="20"/>
        </w:rPr>
        <w:t>R 调用栈、对象状态和分析目标联合输入，是否比只输入错误信息更能提高错误定位和修复后的语义保持率？</w:t>
      </w:r>
    </w:p>
    <w:p>
      <w:pPr>
        <w:pStyle w:val="ListBullet"/>
        <w:spacing w:after="40"/>
        <w:ind w:left="403"/>
      </w:pPr>
      <w:r>
        <w:rPr>
          <w:rFonts w:ascii="Noto Sans CJK SC" w:hAnsi="Noto Sans CJK SC" w:eastAsia="Noto Sans CJK SC"/>
          <w:sz w:val="20"/>
        </w:rPr>
        <w:t>面向本科生的分层解释是否能够提高 PCA、差异表达、富集和单细胞图表的迁移性理解？</w:t>
      </w:r>
    </w:p>
    <w:p>
      <w:pPr>
        <w:pStyle w:val="ListBullet"/>
        <w:spacing w:after="40"/>
        <w:ind w:left="403"/>
      </w:pPr>
      <w:r>
        <w:rPr>
          <w:rFonts w:ascii="Noto Sans CJK SC" w:hAnsi="Noto Sans CJK SC" w:eastAsia="Noto Sans CJK SC"/>
          <w:sz w:val="20"/>
        </w:rPr>
        <w:t>哪些生信错误适合自动修复，哪些错误应该只提供诊断和人工确认？</w:t>
      </w:r>
    </w:p>
    <w:p>
      <w:pPr>
        <w:pStyle w:val="ListBullet"/>
        <w:spacing w:after="40"/>
        <w:ind w:left="403"/>
      </w:pPr>
      <w:r>
        <w:rPr>
          <w:rFonts w:ascii="Noto Sans CJK SC" w:hAnsi="Noto Sans CJK SC" w:eastAsia="Noto Sans CJK SC"/>
          <w:sz w:val="20"/>
        </w:rPr>
        <w:t>不同 LLM、不同提示策略和本地模型/云端模型在生信解释准确性、可追溯性和成本方面有什么差异？</w:t>
      </w:r>
    </w:p>
    <w:p>
      <w:pPr>
        <w:pStyle w:val="Heading2"/>
        <w:keepNext/>
      </w:pPr>
      <w:r>
        <w:t>14.1 推荐的最终贡献表述</w:t>
      </w:r>
    </w:p>
    <w:p>
      <w:pPr>
        <w:spacing w:after="100"/>
        <w:ind w:firstLine="420"/>
      </w:pPr>
      <w:r>
        <w:rPr>
          <w:rFonts w:ascii="Noto Sans CJK SC" w:hAnsi="Noto Sans CJK SC" w:eastAsia="Noto Sans CJK SC"/>
          <w:sz w:val="21"/>
        </w:rPr>
        <w:t>本项目拟开发一个面向生物信息学教学和科研入门的 R 语言框架，统一读取主流生信分析对象、图表和运行上下文，通过确定性统计摘要、领域知识检索和证据约束的大语言模型生成分层生物学解释；同时捕获 R 运行错误和调用栈，提供经过重跑和语义检查的代码改进建议，并通过专家评价和本科生对照实验验证系统的解释质量、调试能力与教学效果。</w:t>
      </w:r>
    </w:p>
    <w:p>
      <w:pPr>
        <w:pStyle w:val="Heading1"/>
        <w:keepNext/>
      </w:pPr>
      <w:r>
        <w:t>十五、参考文献与软件资源</w:t>
      </w:r>
    </w:p>
    <w:p>
      <w:pPr>
        <w:spacing w:after="100"/>
        <w:ind w:firstLine="420"/>
      </w:pPr>
      <w:r>
        <w:rPr>
          <w:rFonts w:ascii="Noto Sans CJK SC" w:hAnsi="Noto Sans CJK SC" w:eastAsia="Noto Sans CJK SC"/>
          <w:sz w:val="21"/>
        </w:rPr>
        <w:t>下列条目按主题整理。链接优先使用 DOI 或 Europe PMC；软件资源使用 CRAN 或项目主页。正式投稿前建议再次核对卷期、页码、作者顺序和版本信息。</w:t>
      </w:r>
    </w:p>
    <w:p>
      <w:pPr>
        <w:pStyle w:val="Heading2"/>
        <w:keepNext/>
      </w:pPr>
      <w:r>
        <w:t>15.1 结果分析与生信软件基础</w:t>
      </w:r>
    </w:p>
    <w:p>
      <w:pPr>
        <w:spacing w:after="60"/>
        <w:ind w:left="216" w:hanging="216"/>
      </w:pPr>
      <w:r>
        <w:rPr>
          <w:rFonts w:ascii="Noto Sans CJK SC" w:hAnsi="Noto Sans CJK SC" w:eastAsia="Noto Sans CJK SC"/>
          <w:sz w:val="18"/>
        </w:rPr>
        <w:t xml:space="preserve">[R1] Gentleman RC et al. (2004). Bioconductor: open software development for computational biology and bioinformatics. Genome Biology. </w:t>
      </w:r>
      <w:hyperlink r:id="rId11">
        <w:r>
          <w:rPr>
            <w:rStyle w:val="Hyperlink"/>
            <w:color w:val="0563C1"/>
            <w:u w:val="single"/>
          </w:rPr>
          <w:t>https://doi.org/10.1186/gb-2004-5-10-r80</w:t>
        </w:r>
      </w:hyperlink>
      <w:r>
        <w:rPr>
          <w:rFonts w:ascii="Noto Sans CJK SC" w:hAnsi="Noto Sans CJK SC" w:eastAsia="Noto Sans CJK SC"/>
          <w:color w:val="666666"/>
          <w:sz w:val="18"/>
        </w:rPr>
        <w:t>（Bioconductor 生态基础）</w:t>
      </w:r>
    </w:p>
    <w:p>
      <w:pPr>
        <w:spacing w:after="60"/>
        <w:ind w:left="216" w:hanging="216"/>
      </w:pPr>
      <w:r>
        <w:rPr>
          <w:rFonts w:ascii="Noto Sans CJK SC" w:hAnsi="Noto Sans CJK SC" w:eastAsia="Noto Sans CJK SC"/>
          <w:sz w:val="18"/>
        </w:rPr>
        <w:t xml:space="preserve">[R2] Ge SX, Son EW, Yao R. (2018). iDEP: an integrated web application for differential expression and pathway analysis of RNA-Seq data. BMC Bioinformatics. </w:t>
      </w:r>
      <w:hyperlink r:id="rId12">
        <w:r>
          <w:rPr>
            <w:rStyle w:val="Hyperlink"/>
            <w:color w:val="0563C1"/>
            <w:u w:val="single"/>
          </w:rPr>
          <w:t>https://doi.org/10.1186/s12859-018-2486-6</w:t>
        </w:r>
      </w:hyperlink>
      <w:r>
        <w:rPr>
          <w:rFonts w:ascii="Noto Sans CJK SC" w:hAnsi="Noto Sans CJK SC" w:eastAsia="Noto Sans CJK SC"/>
          <w:color w:val="666666"/>
          <w:sz w:val="18"/>
        </w:rPr>
        <w:t>（面向非专业用户的整合分析平台）</w:t>
      </w:r>
    </w:p>
    <w:p>
      <w:pPr>
        <w:spacing w:after="60"/>
        <w:ind w:left="216" w:hanging="216"/>
      </w:pPr>
      <w:r>
        <w:rPr>
          <w:rFonts w:ascii="Noto Sans CJK SC" w:hAnsi="Noto Sans CJK SC" w:eastAsia="Noto Sans CJK SC"/>
          <w:sz w:val="18"/>
        </w:rPr>
        <w:t xml:space="preserve">[R3] Love MI, Huber W, Anders S. (2014). Moderated estimation of fold change and dispersion for RNA-seq data with DESeq2. Genome Biology. </w:t>
      </w:r>
      <w:hyperlink r:id="rId13">
        <w:r>
          <w:rPr>
            <w:rStyle w:val="Hyperlink"/>
            <w:color w:val="0563C1"/>
            <w:u w:val="single"/>
          </w:rPr>
          <w:t>https://doi.org/10.1186/s13059-014-0550-8</w:t>
        </w:r>
      </w:hyperlink>
      <w:r>
        <w:rPr>
          <w:rFonts w:ascii="Noto Sans CJK SC" w:hAnsi="Noto Sans CJK SC" w:eastAsia="Noto Sans CJK SC"/>
          <w:color w:val="666666"/>
          <w:sz w:val="18"/>
        </w:rPr>
        <w:t>（差异表达基础方法）</w:t>
      </w:r>
    </w:p>
    <w:p>
      <w:pPr>
        <w:spacing w:after="60"/>
        <w:ind w:left="216" w:hanging="216"/>
      </w:pPr>
      <w:r>
        <w:rPr>
          <w:rFonts w:ascii="Noto Sans CJK SC" w:hAnsi="Noto Sans CJK SC" w:eastAsia="Noto Sans CJK SC"/>
          <w:sz w:val="18"/>
        </w:rPr>
        <w:t xml:space="preserve">[R4] Ritchie ME et al. (2015). limma powers differential expression analyses for RNA-sequencing and microarray studies. Nucleic Acids Research. </w:t>
      </w:r>
      <w:hyperlink r:id="rId14">
        <w:r>
          <w:rPr>
            <w:rStyle w:val="Hyperlink"/>
            <w:color w:val="0563C1"/>
            <w:u w:val="single"/>
          </w:rPr>
          <w:t>https://doi.org/10.1093/nar/gkv007</w:t>
        </w:r>
      </w:hyperlink>
      <w:r>
        <w:rPr>
          <w:rFonts w:ascii="Noto Sans CJK SC" w:hAnsi="Noto Sans CJK SC" w:eastAsia="Noto Sans CJK SC"/>
          <w:color w:val="666666"/>
          <w:sz w:val="18"/>
        </w:rPr>
        <w:t>（limma 方法和软件）</w:t>
      </w:r>
    </w:p>
    <w:p>
      <w:pPr>
        <w:spacing w:after="60"/>
        <w:ind w:left="216" w:hanging="216"/>
      </w:pPr>
      <w:r>
        <w:rPr>
          <w:rFonts w:ascii="Noto Sans CJK SC" w:hAnsi="Noto Sans CJK SC" w:eastAsia="Noto Sans CJK SC"/>
          <w:sz w:val="18"/>
        </w:rPr>
        <w:t xml:space="preserve">[R5] Robinson MD, McCarthy DJ, Smyth GK. (2010). edgeR: a Bioconductor package for differential expression analysis of digital gene expression data. Bioinformatics. </w:t>
      </w:r>
      <w:hyperlink r:id="rId15">
        <w:r>
          <w:rPr>
            <w:rStyle w:val="Hyperlink"/>
            <w:color w:val="0563C1"/>
            <w:u w:val="single"/>
          </w:rPr>
          <w:t>https://doi.org/10.1093/bioinformatics/btp616</w:t>
        </w:r>
      </w:hyperlink>
      <w:r>
        <w:rPr>
          <w:rFonts w:ascii="Noto Sans CJK SC" w:hAnsi="Noto Sans CJK SC" w:eastAsia="Noto Sans CJK SC"/>
          <w:color w:val="666666"/>
          <w:sz w:val="18"/>
        </w:rPr>
        <w:t>（edgeR 方法和软件）</w:t>
      </w:r>
    </w:p>
    <w:p>
      <w:pPr>
        <w:spacing w:after="60"/>
        <w:ind w:left="216" w:hanging="216"/>
      </w:pPr>
      <w:r>
        <w:rPr>
          <w:rFonts w:ascii="Noto Sans CJK SC" w:hAnsi="Noto Sans CJK SC" w:eastAsia="Noto Sans CJK SC"/>
          <w:sz w:val="18"/>
        </w:rPr>
        <w:t xml:space="preserve">[R6] Subramanian A et al. (2005). Gene set enrichment analysis: a knowledge-based approach for interpreting genome-wide expression profiles. PNAS. </w:t>
      </w:r>
      <w:hyperlink r:id="rId16">
        <w:r>
          <w:rPr>
            <w:rStyle w:val="Hyperlink"/>
            <w:color w:val="0563C1"/>
            <w:u w:val="single"/>
          </w:rPr>
          <w:t>https://doi.org/10.1073/pnas.0506580102</w:t>
        </w:r>
      </w:hyperlink>
      <w:r>
        <w:rPr>
          <w:rFonts w:ascii="Noto Sans CJK SC" w:hAnsi="Noto Sans CJK SC" w:eastAsia="Noto Sans CJK SC"/>
          <w:color w:val="666666"/>
          <w:sz w:val="18"/>
        </w:rPr>
        <w:t>（GSEA 基础）</w:t>
      </w:r>
    </w:p>
    <w:p>
      <w:pPr>
        <w:spacing w:after="60"/>
        <w:ind w:left="216" w:hanging="216"/>
      </w:pPr>
      <w:r>
        <w:rPr>
          <w:rFonts w:ascii="Noto Sans CJK SC" w:hAnsi="Noto Sans CJK SC" w:eastAsia="Noto Sans CJK SC"/>
          <w:sz w:val="18"/>
        </w:rPr>
        <w:t xml:space="preserve">[R7] Wu T et al. (2021). clusterProfiler 4.0: A universal enrichment tool for interpreting omics data. The Innovation. </w:t>
      </w:r>
      <w:hyperlink r:id="rId17">
        <w:r>
          <w:rPr>
            <w:rStyle w:val="Hyperlink"/>
            <w:color w:val="0563C1"/>
            <w:u w:val="single"/>
          </w:rPr>
          <w:t>https://doi.org/10.1016/j.xinn.2021.100141</w:t>
        </w:r>
      </w:hyperlink>
      <w:r>
        <w:rPr>
          <w:rFonts w:ascii="Noto Sans CJK SC" w:hAnsi="Noto Sans CJK SC" w:eastAsia="Noto Sans CJK SC"/>
          <w:color w:val="666666"/>
          <w:sz w:val="18"/>
        </w:rPr>
        <w:t>（富集分析和 R 包基础）</w:t>
      </w:r>
    </w:p>
    <w:p>
      <w:pPr>
        <w:spacing w:after="60"/>
        <w:ind w:left="216" w:hanging="216"/>
      </w:pPr>
      <w:r>
        <w:rPr>
          <w:rFonts w:ascii="Noto Sans CJK SC" w:hAnsi="Noto Sans CJK SC" w:eastAsia="Noto Sans CJK SC"/>
          <w:sz w:val="18"/>
        </w:rPr>
        <w:t xml:space="preserve">[R8] Stuart T et al. (2019). Comprehensive Integration of Single-Cell Data. Cell. </w:t>
      </w:r>
      <w:hyperlink r:id="rId18">
        <w:r>
          <w:rPr>
            <w:rStyle w:val="Hyperlink"/>
            <w:color w:val="0563C1"/>
            <w:u w:val="single"/>
          </w:rPr>
          <w:t>https://doi.org/10.1016/j.cell.2019.05.031</w:t>
        </w:r>
      </w:hyperlink>
      <w:r>
        <w:rPr>
          <w:rFonts w:ascii="Noto Sans CJK SC" w:hAnsi="Noto Sans CJK SC" w:eastAsia="Noto Sans CJK SC"/>
          <w:color w:val="666666"/>
          <w:sz w:val="18"/>
        </w:rPr>
        <w:t>（Seurat 单细胞整合基础）</w:t>
      </w:r>
    </w:p>
    <w:p>
      <w:pPr>
        <w:spacing w:after="60"/>
        <w:ind w:left="216" w:hanging="216"/>
      </w:pPr>
      <w:r>
        <w:rPr>
          <w:rFonts w:ascii="Noto Sans CJK SC" w:hAnsi="Noto Sans CJK SC" w:eastAsia="Noto Sans CJK SC"/>
          <w:sz w:val="18"/>
        </w:rPr>
        <w:t xml:space="preserve">[R9] Squair JW et al. (2021). Confronting false discoveries in single-cell differential expression. Nature Communications. </w:t>
      </w:r>
      <w:hyperlink r:id="rId19">
        <w:r>
          <w:rPr>
            <w:rStyle w:val="Hyperlink"/>
            <w:color w:val="0563C1"/>
            <w:u w:val="single"/>
          </w:rPr>
          <w:t>https://doi.org/10.1038/s41467-021-25960-2</w:t>
        </w:r>
      </w:hyperlink>
      <w:r>
        <w:rPr>
          <w:rFonts w:ascii="Noto Sans CJK SC" w:hAnsi="Noto Sans CJK SC" w:eastAsia="Noto Sans CJK SC"/>
          <w:color w:val="666666"/>
          <w:sz w:val="18"/>
        </w:rPr>
        <w:t>（单细胞差异表达统计风险）</w:t>
      </w:r>
    </w:p>
    <w:p>
      <w:pPr>
        <w:pStyle w:val="Heading2"/>
        <w:keepNext/>
      </w:pPr>
      <w:r>
        <w:t>15.2 AI 辅助生信分析与结果解释</w:t>
      </w:r>
    </w:p>
    <w:p>
      <w:pPr>
        <w:spacing w:after="60"/>
        <w:ind w:left="216" w:hanging="216"/>
      </w:pPr>
      <w:r>
        <w:rPr>
          <w:rFonts w:ascii="Noto Sans CJK SC" w:hAnsi="Noto Sans CJK SC" w:eastAsia="Noto Sans CJK SC"/>
          <w:sz w:val="18"/>
        </w:rPr>
        <w:t xml:space="preserve">[R10] Hou W, Ji Z. (2024). Assessing GPT-4 for cell type annotation in single-cell RNA-seq analysis. Nature Methods. </w:t>
      </w:r>
      <w:hyperlink r:id="rId20">
        <w:r>
          <w:rPr>
            <w:rStyle w:val="Hyperlink"/>
            <w:color w:val="0563C1"/>
            <w:u w:val="single"/>
          </w:rPr>
          <w:t>https://doi.org/10.1038/s41592-024-02235-4</w:t>
        </w:r>
      </w:hyperlink>
      <w:r>
        <w:rPr>
          <w:rFonts w:ascii="Noto Sans CJK SC" w:hAnsi="Noto Sans CJK SC" w:eastAsia="Noto Sans CJK SC"/>
          <w:color w:val="666666"/>
          <w:sz w:val="18"/>
        </w:rPr>
        <w:t>（GPTCelltype 相关工作）</w:t>
      </w:r>
    </w:p>
    <w:p>
      <w:pPr>
        <w:spacing w:after="60"/>
        <w:ind w:left="216" w:hanging="216"/>
      </w:pPr>
      <w:r>
        <w:rPr>
          <w:rFonts w:ascii="Noto Sans CJK SC" w:hAnsi="Noto Sans CJK SC" w:eastAsia="Noto Sans CJK SC"/>
          <w:sz w:val="18"/>
        </w:rPr>
        <w:t xml:space="preserve">[R11] Wang Y et al. (2024). Bioinformatics Copilot 1.0: A Large Language Model-powered Software for the Analysis of Transcriptomic Data. bioRxiv preprint. </w:t>
      </w:r>
      <w:hyperlink r:id="rId21">
        <w:r>
          <w:rPr>
            <w:rStyle w:val="Hyperlink"/>
            <w:color w:val="0563C1"/>
            <w:u w:val="single"/>
          </w:rPr>
          <w:t>https://doi.org/10.1101/2024.04.11.588958</w:t>
        </w:r>
      </w:hyperlink>
      <w:r>
        <w:rPr>
          <w:rFonts w:ascii="Noto Sans CJK SC" w:hAnsi="Noto Sans CJK SC" w:eastAsia="Noto Sans CJK SC"/>
          <w:color w:val="666666"/>
          <w:sz w:val="18"/>
        </w:rPr>
        <w:t>（预印本；转录组自然语言助手）</w:t>
      </w:r>
    </w:p>
    <w:p>
      <w:pPr>
        <w:spacing w:after="60"/>
        <w:ind w:left="216" w:hanging="216"/>
      </w:pPr>
      <w:r>
        <w:rPr>
          <w:rFonts w:ascii="Noto Sans CJK SC" w:hAnsi="Noto Sans CJK SC" w:eastAsia="Noto Sans CJK SC"/>
          <w:sz w:val="18"/>
        </w:rPr>
        <w:t xml:space="preserve">[R12] Hu M et al. (2025). Evaluation of large language models for discovery of gene set function. Nature Methods. </w:t>
      </w:r>
      <w:hyperlink r:id="rId22">
        <w:r>
          <w:rPr>
            <w:rStyle w:val="Hyperlink"/>
            <w:color w:val="0563C1"/>
            <w:u w:val="single"/>
          </w:rPr>
          <w:t>https://doi.org/10.1038/s41592-024-02525-x</w:t>
        </w:r>
      </w:hyperlink>
      <w:r>
        <w:rPr>
          <w:rFonts w:ascii="Noto Sans CJK SC" w:hAnsi="Noto Sans CJK SC" w:eastAsia="Noto Sans CJK SC"/>
          <w:color w:val="666666"/>
          <w:sz w:val="18"/>
        </w:rPr>
        <w:t>（LLM 基因集功能评估）</w:t>
      </w:r>
    </w:p>
    <w:p>
      <w:pPr>
        <w:spacing w:after="60"/>
        <w:ind w:left="216" w:hanging="216"/>
      </w:pPr>
      <w:r>
        <w:rPr>
          <w:rFonts w:ascii="Noto Sans CJK SC" w:hAnsi="Noto Sans CJK SC" w:eastAsia="Noto Sans CJK SC"/>
          <w:sz w:val="18"/>
        </w:rPr>
        <w:t xml:space="preserve">[R13] Wang Z et al. (2025). GeneAgent: self-verification language agent for gene-set analysis using domain databases. Nature Methods. </w:t>
      </w:r>
      <w:hyperlink r:id="rId23">
        <w:r>
          <w:rPr>
            <w:rStyle w:val="Hyperlink"/>
            <w:color w:val="0563C1"/>
            <w:u w:val="single"/>
          </w:rPr>
          <w:t>https://doi.org/10.1038/s41592-025-02748-6</w:t>
        </w:r>
      </w:hyperlink>
      <w:r>
        <w:rPr>
          <w:rFonts w:ascii="Noto Sans CJK SC" w:hAnsi="Noto Sans CJK SC" w:eastAsia="Noto Sans CJK SC"/>
          <w:color w:val="666666"/>
          <w:sz w:val="18"/>
        </w:rPr>
        <w:t>（数据库自验证）</w:t>
      </w:r>
    </w:p>
    <w:p>
      <w:pPr>
        <w:spacing w:after="60"/>
        <w:ind w:left="216" w:hanging="216"/>
      </w:pPr>
      <w:r>
        <w:rPr>
          <w:rFonts w:ascii="Noto Sans CJK SC" w:hAnsi="Noto Sans CJK SC" w:eastAsia="Noto Sans CJK SC"/>
          <w:sz w:val="18"/>
        </w:rPr>
        <w:t xml:space="preserve">[R14] Zhu J et al. (2025). Enhancing gene set overrepresentation analysis with large language models. Bioinformatics Advances. </w:t>
      </w:r>
      <w:hyperlink r:id="rId24">
        <w:r>
          <w:rPr>
            <w:rStyle w:val="Hyperlink"/>
            <w:color w:val="0563C1"/>
            <w:u w:val="single"/>
          </w:rPr>
          <w:t>https://doi.org/10.1093/bioadv/vbaf054</w:t>
        </w:r>
      </w:hyperlink>
      <w:r>
        <w:rPr>
          <w:rFonts w:ascii="Noto Sans CJK SC" w:hAnsi="Noto Sans CJK SC" w:eastAsia="Noto Sans CJK SC"/>
          <w:color w:val="666666"/>
          <w:sz w:val="18"/>
        </w:rPr>
        <w:t>（llm2geneset 相关工作）</w:t>
      </w:r>
    </w:p>
    <w:p>
      <w:pPr>
        <w:spacing w:after="60"/>
        <w:ind w:left="216" w:hanging="216"/>
      </w:pPr>
      <w:r>
        <w:rPr>
          <w:rFonts w:ascii="Noto Sans CJK SC" w:hAnsi="Noto Sans CJK SC" w:eastAsia="Noto Sans CJK SC"/>
          <w:sz w:val="18"/>
        </w:rPr>
        <w:t xml:space="preserve">[R15] Nagarajan V et al. (2025). SCassist: an AI based workflow assistant for single-cell analysis. Bioinformatics. </w:t>
      </w:r>
      <w:hyperlink r:id="rId25">
        <w:r>
          <w:rPr>
            <w:rStyle w:val="Hyperlink"/>
            <w:color w:val="0563C1"/>
            <w:u w:val="single"/>
          </w:rPr>
          <w:t>https://doi.org/10.1093/bioinformatics/btaf402</w:t>
        </w:r>
      </w:hyperlink>
      <w:r>
        <w:rPr>
          <w:rFonts w:ascii="Noto Sans CJK SC" w:hAnsi="Noto Sans CJK SC" w:eastAsia="Noto Sans CJK SC"/>
          <w:color w:val="666666"/>
          <w:sz w:val="18"/>
        </w:rPr>
        <w:t>（单细胞 R 工作流助手）</w:t>
      </w:r>
    </w:p>
    <w:p>
      <w:pPr>
        <w:spacing w:after="60"/>
        <w:ind w:left="216" w:hanging="216"/>
      </w:pPr>
      <w:r>
        <w:rPr>
          <w:rFonts w:ascii="Noto Sans CJK SC" w:hAnsi="Noto Sans CJK SC" w:eastAsia="Noto Sans CJK SC"/>
          <w:sz w:val="18"/>
        </w:rPr>
        <w:t xml:space="preserve">[R16] Crowley G, Tabula Sapiens Consortium, Quake SR. (2025). Benchmarking cell type and gene set annotation by large language models with AnnDictionary. Nature Communications. </w:t>
      </w:r>
      <w:hyperlink r:id="rId26">
        <w:r>
          <w:rPr>
            <w:rStyle w:val="Hyperlink"/>
            <w:color w:val="0563C1"/>
            <w:u w:val="single"/>
          </w:rPr>
          <w:t>https://doi.org/10.1038/s41467-025-64511-x</w:t>
        </w:r>
      </w:hyperlink>
      <w:r>
        <w:rPr>
          <w:rFonts w:ascii="Noto Sans CJK SC" w:hAnsi="Noto Sans CJK SC" w:eastAsia="Noto Sans CJK SC"/>
          <w:color w:val="666666"/>
          <w:sz w:val="18"/>
        </w:rPr>
        <w:t>（单细胞和基因集注释评测）</w:t>
      </w:r>
    </w:p>
    <w:p>
      <w:pPr>
        <w:spacing w:after="60"/>
        <w:ind w:left="216" w:hanging="216"/>
      </w:pPr>
      <w:r>
        <w:rPr>
          <w:rFonts w:ascii="Noto Sans CJK SC" w:hAnsi="Noto Sans CJK SC" w:eastAsia="Noto Sans CJK SC"/>
          <w:sz w:val="18"/>
        </w:rPr>
        <w:t xml:space="preserve">[R17] Lobentanzer S et al. (2025). A platform for the biomedical application of large language models. Nature Biotechnology. </w:t>
      </w:r>
      <w:hyperlink r:id="rId27">
        <w:r>
          <w:rPr>
            <w:rStyle w:val="Hyperlink"/>
            <w:color w:val="0563C1"/>
            <w:u w:val="single"/>
          </w:rPr>
          <w:t>https://doi.org/10.1038/s41587-024-02534-3</w:t>
        </w:r>
      </w:hyperlink>
      <w:r>
        <w:rPr>
          <w:rFonts w:ascii="Noto Sans CJK SC" w:hAnsi="Noto Sans CJK SC" w:eastAsia="Noto Sans CJK SC"/>
          <w:color w:val="666666"/>
          <w:sz w:val="18"/>
        </w:rPr>
        <w:t>（BioChatter 平台）</w:t>
      </w:r>
    </w:p>
    <w:p>
      <w:pPr>
        <w:spacing w:after="60"/>
        <w:ind w:left="216" w:hanging="216"/>
      </w:pPr>
      <w:r>
        <w:rPr>
          <w:rFonts w:ascii="Noto Sans CJK SC" w:hAnsi="Noto Sans CJK SC" w:eastAsia="Noto Sans CJK SC"/>
          <w:sz w:val="18"/>
        </w:rPr>
        <w:t xml:space="preserve">[R18] Brinkmann M, Bonelli M, Tosevska A. (2026). SummArIzeR: simplifying cross-database enrichment result clustering and annotation via large language models. Bioinformatics. </w:t>
      </w:r>
      <w:hyperlink r:id="rId28">
        <w:r>
          <w:rPr>
            <w:rStyle w:val="Hyperlink"/>
            <w:color w:val="0563C1"/>
            <w:u w:val="single"/>
          </w:rPr>
          <w:t>https://doi.org/10.1093/bioinformatics/btag102</w:t>
        </w:r>
      </w:hyperlink>
      <w:r>
        <w:rPr>
          <w:rFonts w:ascii="Noto Sans CJK SC" w:hAnsi="Noto Sans CJK SC" w:eastAsia="Noto Sans CJK SC"/>
          <w:color w:val="666666"/>
          <w:sz w:val="18"/>
        </w:rPr>
        <w:t>（富集结果聚类和 LLM 注释）</w:t>
      </w:r>
    </w:p>
    <w:p>
      <w:pPr>
        <w:spacing w:after="60"/>
        <w:ind w:left="216" w:hanging="216"/>
      </w:pPr>
      <w:r>
        <w:rPr>
          <w:rFonts w:ascii="Noto Sans CJK SC" w:hAnsi="Noto Sans CJK SC" w:eastAsia="Noto Sans CJK SC"/>
          <w:sz w:val="18"/>
        </w:rPr>
        <w:t xml:space="preserve">[R19] Su H et al. (2026). BioMaster: Multi-agent system for automated bioinformatics analysis workflow. Patterns. </w:t>
      </w:r>
      <w:hyperlink r:id="rId29">
        <w:r>
          <w:rPr>
            <w:rStyle w:val="Hyperlink"/>
            <w:color w:val="0563C1"/>
            <w:u w:val="single"/>
          </w:rPr>
          <w:t>https://doi.org/10.1016/j.patter.2026.101611</w:t>
        </w:r>
      </w:hyperlink>
      <w:r>
        <w:rPr>
          <w:rFonts w:ascii="Noto Sans CJK SC" w:hAnsi="Noto Sans CJK SC" w:eastAsia="Noto Sans CJK SC"/>
          <w:color w:val="666666"/>
          <w:sz w:val="18"/>
        </w:rPr>
        <w:t>（规划、执行、错误恢复和验证）</w:t>
      </w:r>
    </w:p>
    <w:p>
      <w:pPr>
        <w:pStyle w:val="Heading2"/>
        <w:keepNext/>
      </w:pPr>
      <w:r>
        <w:t>15.3 教育、调试与 R/LLM 工具资源</w:t>
      </w:r>
    </w:p>
    <w:p>
      <w:pPr>
        <w:spacing w:after="60"/>
        <w:ind w:left="216" w:hanging="216"/>
      </w:pPr>
      <w:r>
        <w:rPr>
          <w:rFonts w:ascii="Noto Sans CJK SC" w:hAnsi="Noto Sans CJK SC" w:eastAsia="Noto Sans CJK SC"/>
          <w:sz w:val="18"/>
        </w:rPr>
        <w:t xml:space="preserve">[R20] Piccolo SR et al. (2025). Opportunities and considerations for using artificial intelligence in bioinformatics education. Bioinformatics Advances. </w:t>
      </w:r>
      <w:hyperlink r:id="rId30">
        <w:r>
          <w:rPr>
            <w:rStyle w:val="Hyperlink"/>
            <w:color w:val="0563C1"/>
            <w:u w:val="single"/>
          </w:rPr>
          <w:t>https://doi.org/10.1093/bioadv/vbaf169</w:t>
        </w:r>
      </w:hyperlink>
      <w:r>
        <w:rPr>
          <w:rFonts w:ascii="Noto Sans CJK SC" w:hAnsi="Noto Sans CJK SC" w:eastAsia="Noto Sans CJK SC"/>
          <w:color w:val="666666"/>
          <w:sz w:val="18"/>
        </w:rPr>
        <w:t>（AI 生信教育观点）</w:t>
      </w:r>
    </w:p>
    <w:p>
      <w:pPr>
        <w:spacing w:after="60"/>
        <w:ind w:left="216" w:hanging="216"/>
      </w:pPr>
      <w:r>
        <w:rPr>
          <w:rFonts w:ascii="Noto Sans CJK SC" w:hAnsi="Noto Sans CJK SC" w:eastAsia="Noto Sans CJK SC"/>
          <w:sz w:val="18"/>
        </w:rPr>
        <w:t xml:space="preserve">[R21] Brooksbank C et al. (2024). The ISCB competency framework v. 3: a revised and extended standard for bioinformatics education and training. Bioinformatics Advances. </w:t>
      </w:r>
      <w:hyperlink r:id="rId31">
        <w:r>
          <w:rPr>
            <w:rStyle w:val="Hyperlink"/>
            <w:color w:val="0563C1"/>
            <w:u w:val="single"/>
          </w:rPr>
          <w:t>https://doi.org/10.1093/bioadv/vbae166</w:t>
        </w:r>
      </w:hyperlink>
      <w:r>
        <w:rPr>
          <w:rFonts w:ascii="Noto Sans CJK SC" w:hAnsi="Noto Sans CJK SC" w:eastAsia="Noto Sans CJK SC"/>
          <w:color w:val="666666"/>
          <w:sz w:val="18"/>
        </w:rPr>
        <w:t>（生信教育能力框架）</w:t>
      </w:r>
    </w:p>
    <w:p>
      <w:pPr>
        <w:spacing w:after="60"/>
        <w:ind w:left="216" w:hanging="216"/>
      </w:pPr>
      <w:r>
        <w:rPr>
          <w:rFonts w:ascii="Noto Sans CJK SC" w:hAnsi="Noto Sans CJK SC" w:eastAsia="Noto Sans CJK SC"/>
          <w:sz w:val="18"/>
        </w:rPr>
        <w:t xml:space="preserve">[R22] Teufel AI, Liberles DA. (2026). Teaching bioinformatics with generative AI: judgment, uncertainty, and responsibility. Journal of Microbiology &amp; Biology Education. </w:t>
      </w:r>
      <w:hyperlink r:id="rId32">
        <w:r>
          <w:rPr>
            <w:rStyle w:val="Hyperlink"/>
            <w:color w:val="0563C1"/>
            <w:u w:val="single"/>
          </w:rPr>
          <w:t>https://doi.org/10.1128/jmbe.00331-25</w:t>
        </w:r>
      </w:hyperlink>
      <w:r>
        <w:rPr>
          <w:rFonts w:ascii="Noto Sans CJK SC" w:hAnsi="Noto Sans CJK SC" w:eastAsia="Noto Sans CJK SC"/>
          <w:color w:val="666666"/>
          <w:sz w:val="18"/>
        </w:rPr>
        <w:t>（生成式 AI 教学生信的判断和责任）</w:t>
      </w:r>
    </w:p>
    <w:p>
      <w:pPr>
        <w:spacing w:after="60"/>
        <w:ind w:left="216" w:hanging="216"/>
      </w:pPr>
      <w:r>
        <w:rPr>
          <w:rFonts w:ascii="Noto Sans CJK SC" w:hAnsi="Noto Sans CJK SC" w:eastAsia="Noto Sans CJK SC"/>
          <w:sz w:val="18"/>
        </w:rPr>
        <w:t xml:space="preserve">[R23] Chen X et al. (2023). Teaching Large Language Models to Self-Debug. arXiv:2304.05128. </w:t>
      </w:r>
      <w:hyperlink r:id="rId33">
        <w:r>
          <w:rPr>
            <w:rStyle w:val="Hyperlink"/>
            <w:color w:val="0563C1"/>
            <w:u w:val="single"/>
          </w:rPr>
          <w:t>https://doi.org/10.48550/arXiv.2304.05128</w:t>
        </w:r>
      </w:hyperlink>
      <w:r>
        <w:rPr>
          <w:rFonts w:ascii="Noto Sans CJK SC" w:hAnsi="Noto Sans CJK SC" w:eastAsia="Noto Sans CJK SC"/>
          <w:color w:val="666666"/>
          <w:sz w:val="18"/>
        </w:rPr>
        <w:t>（通用代码自调试研究；预印本）</w:t>
      </w:r>
    </w:p>
    <w:p>
      <w:pPr>
        <w:spacing w:after="60"/>
        <w:ind w:left="216" w:hanging="216"/>
      </w:pPr>
      <w:r>
        <w:rPr>
          <w:rFonts w:ascii="Noto Sans CJK SC" w:hAnsi="Noto Sans CJK SC" w:eastAsia="Noto Sans CJK SC"/>
          <w:sz w:val="18"/>
        </w:rPr>
        <w:t xml:space="preserve">[R24] Posit. btw: A Toolkit for Connecting R and Large Language Models. </w:t>
      </w:r>
      <w:hyperlink r:id="rId34">
        <w:r>
          <w:rPr>
            <w:rStyle w:val="Hyperlink"/>
            <w:color w:val="0563C1"/>
            <w:u w:val="single"/>
          </w:rPr>
          <w:t>https://posit-dev.github.io/btw/</w:t>
        </w:r>
      </w:hyperlink>
      <w:r>
        <w:rPr>
          <w:rFonts w:ascii="Noto Sans CJK SC" w:hAnsi="Noto Sans CJK SC" w:eastAsia="Noto Sans CJK SC"/>
          <w:color w:val="666666"/>
          <w:sz w:val="18"/>
        </w:rPr>
        <w:t>（R 环境和对象上下文工具）</w:t>
      </w:r>
    </w:p>
    <w:p>
      <w:pPr>
        <w:spacing w:after="60"/>
        <w:ind w:left="216" w:hanging="216"/>
      </w:pPr>
      <w:r>
        <w:rPr>
          <w:rFonts w:ascii="Noto Sans CJK SC" w:hAnsi="Noto Sans CJK SC" w:eastAsia="Noto Sans CJK SC"/>
          <w:sz w:val="18"/>
        </w:rPr>
        <w:t xml:space="preserve">[R25] Posit. gander: High Performance, Low Friction Large Language Model Chat. </w:t>
      </w:r>
      <w:hyperlink r:id="rId35">
        <w:r>
          <w:rPr>
            <w:rStyle w:val="Hyperlink"/>
            <w:color w:val="0563C1"/>
            <w:u w:val="single"/>
          </w:rPr>
          <w:t>https://cran.r-project.org/web/packages/gander/index.html</w:t>
        </w:r>
      </w:hyperlink>
      <w:r>
        <w:rPr>
          <w:rFonts w:ascii="Noto Sans CJK SC" w:hAnsi="Noto Sans CJK SC" w:eastAsia="Noto Sans CJK SC"/>
          <w:color w:val="666666"/>
          <w:sz w:val="18"/>
        </w:rPr>
        <w:t>（RStudio/Positron 代码上下文助手）</w:t>
      </w:r>
    </w:p>
    <w:p>
      <w:pPr>
        <w:spacing w:after="60"/>
        <w:ind w:left="216" w:hanging="216"/>
      </w:pPr>
      <w:r>
        <w:rPr>
          <w:rFonts w:ascii="Noto Sans CJK SC" w:hAnsi="Noto Sans CJK SC" w:eastAsia="Noto Sans CJK SC"/>
          <w:sz w:val="18"/>
        </w:rPr>
        <w:t xml:space="preserve">[R26] Posit. ellmer: Chat with Large Language Models. </w:t>
      </w:r>
      <w:hyperlink r:id="rId36">
        <w:r>
          <w:rPr>
            <w:rStyle w:val="Hyperlink"/>
            <w:color w:val="0563C1"/>
            <w:u w:val="single"/>
          </w:rPr>
          <w:t>https://ellmer.tidyverse.org/</w:t>
        </w:r>
      </w:hyperlink>
      <w:r>
        <w:rPr>
          <w:rFonts w:ascii="Noto Sans CJK SC" w:hAnsi="Noto Sans CJK SC" w:eastAsia="Noto Sans CJK SC"/>
          <w:color w:val="666666"/>
          <w:sz w:val="18"/>
        </w:rPr>
        <w:t>（R 中接入 LLM、结构化输出和工具调用）</w:t>
      </w:r>
    </w:p>
    <w:p>
      <w:pPr>
        <w:spacing w:after="60"/>
        <w:ind w:left="216" w:hanging="216"/>
      </w:pPr>
      <w:r>
        <w:rPr>
          <w:rFonts w:ascii="Noto Sans CJK SC" w:hAnsi="Noto Sans CJK SC" w:eastAsia="Noto Sans CJK SC"/>
          <w:sz w:val="18"/>
        </w:rPr>
        <w:t xml:space="preserve">[R27] R Core Team. Condition Handling and Recovery. </w:t>
      </w:r>
      <w:hyperlink r:id="rId37">
        <w:r>
          <w:rPr>
            <w:rStyle w:val="Hyperlink"/>
            <w:color w:val="0563C1"/>
            <w:u w:val="single"/>
          </w:rPr>
          <w:t>https://stat.ethz.ch/R-manual/R-devel/library/base/html/conditions.html</w:t>
        </w:r>
      </w:hyperlink>
      <w:r>
        <w:rPr>
          <w:rFonts w:ascii="Noto Sans CJK SC" w:hAnsi="Noto Sans CJK SC" w:eastAsia="Noto Sans CJK SC"/>
          <w:color w:val="666666"/>
          <w:sz w:val="18"/>
        </w:rPr>
        <w:t>（tryCatch、withCallingHandlers 等官方文档）</w:t>
      </w:r>
    </w:p>
    <w:p>
      <w:pPr>
        <w:pStyle w:val="Heading1"/>
        <w:keepNext/>
      </w:pPr>
      <w:r>
        <w:t>附录：推荐检索式</w:t>
      </w:r>
    </w:p>
    <w:p>
      <w:pPr>
        <w:spacing w:after="100"/>
        <w:ind w:firstLine="420"/>
      </w:pPr>
      <w:r>
        <w:rPr>
          <w:rFonts w:ascii="Noto Sans CJK SC" w:hAnsi="Noto Sans CJK SC" w:eastAsia="Noto Sans CJK SC"/>
          <w:sz w:val="21"/>
        </w:rPr>
        <w:t>后续正式做系统综述或开题查新时，建议在 PubMed/Europe PMC、Web of Science、Scopus、Google Scholar 和 CNKI 分别检索，并记录数据库、日期、检索式、纳入排除标准和去重结果。</w:t>
      </w:r>
    </w:p>
    <w:p>
      <w:pPr>
        <w:spacing w:before="60" w:after="140" w:line="240" w:lineRule="auto"/>
        <w:ind w:left="360" w:right="216"/>
        <w:shd w:fill="F2F4F7"/>
      </w:pPr>
      <w:r>
        <w:rPr>
          <w:rFonts w:ascii="Noto Sans Mono CJK SC" w:hAnsi="Noto Sans Mono CJK SC" w:eastAsia="Noto Sans Mono CJK SC"/>
          <w:color w:val="243447"/>
          <w:sz w:val="17"/>
        </w:rPr>
        <w:t>(bioinformatics OR omics OR RNA-seq OR transcriptomics) AND</w:t>
        <w:br/>
        <w:t>(large language model OR LLM OR ChatGPT OR generative AI) AND</w:t>
        <w:br/>
        <w:t>(interpretation OR annotation OR explanation OR pathway OR enrichment)</w:t>
      </w:r>
    </w:p>
    <w:p>
      <w:pPr>
        <w:spacing w:before="60" w:after="140" w:line="240" w:lineRule="auto"/>
        <w:ind w:left="360" w:right="216"/>
        <w:shd w:fill="F2F4F7"/>
      </w:pPr>
      <w:r>
        <w:rPr>
          <w:rFonts w:ascii="Noto Sans Mono CJK SC" w:hAnsi="Noto Sans Mono CJK SC" w:eastAsia="Noto Sans Mono CJK SC"/>
          <w:color w:val="243447"/>
          <w:sz w:val="17"/>
        </w:rPr>
        <w:t>(single-cell OR scRNA-seq OR Seurat) AND</w:t>
        <w:br/>
        <w:t>(LLM OR GPT OR AI assistant OR agent) AND</w:t>
        <w:br/>
        <w:t>(cell type annotation OR workflow OR interpretation)</w:t>
      </w:r>
    </w:p>
    <w:p>
      <w:pPr>
        <w:spacing w:before="60" w:after="140" w:line="240" w:lineRule="auto"/>
        <w:ind w:left="360" w:right="216"/>
        <w:shd w:fill="F2F4F7"/>
      </w:pPr>
      <w:r>
        <w:rPr>
          <w:rFonts w:ascii="Noto Sans Mono CJK SC" w:hAnsi="Noto Sans Mono CJK SC" w:eastAsia="Noto Sans Mono CJK SC"/>
          <w:color w:val="243447"/>
          <w:sz w:val="17"/>
        </w:rPr>
        <w:t>(R OR Bioconductor) AND</w:t>
        <w:br/>
        <w:t>(error diagnosis OR debugging OR error recovery OR code repair) AND</w:t>
        <w:br/>
        <w:t>(bioinformatics OR genomics OR transcriptomics)</w:t>
      </w:r>
    </w:p>
    <w:p>
      <w:pPr>
        <w:spacing w:before="60" w:after="140" w:line="240" w:lineRule="auto"/>
        <w:ind w:left="360" w:right="216"/>
        <w:shd w:fill="F2F4F7"/>
      </w:pPr>
      <w:r>
        <w:rPr>
          <w:rFonts w:ascii="Noto Sans Mono CJK SC" w:hAnsi="Noto Sans Mono CJK SC" w:eastAsia="Noto Sans Mono CJK SC"/>
          <w:color w:val="243447"/>
          <w:sz w:val="17"/>
        </w:rPr>
        <w:t>(bioinformatics education OR undergraduate bioinformatics) AND</w:t>
        <w:br/>
        <w:t>(generative AI OR artificial intelligence OR personalized feedback)</w:t>
      </w:r>
    </w:p>
    <w:p>
      <w:pPr>
        <w:spacing w:after="100"/>
        <w:ind w:firstLine="420"/>
      </w:pPr>
      <w:r>
        <w:rPr>
          <w:rFonts w:ascii="Noto Sans CJK SC" w:hAnsi="Noto Sans CJK SC" w:eastAsia="Noto Sans CJK SC"/>
          <w:sz w:val="21"/>
        </w:rPr>
        <w:t>建议后续将“对象解释准确性”和“教学效果”作为独立证据收集，避免只用模型回答的主观好坏来证明系统有效。</w:t>
      </w:r>
    </w:p>
    <w:p>
      <w:r>
        <w:br w:type="page"/>
      </w:r>
    </w:p>
    <w:p>
      <w:pPr>
        <w:pStyle w:val="Heading1"/>
        <w:keepNext/>
      </w:pPr>
      <w:r>
        <w:t>报告使用说明</w:t>
      </w:r>
    </w:p>
    <w:p>
      <w:pPr>
        <w:spacing w:after="100"/>
        <w:ind w:firstLine="420"/>
      </w:pPr>
      <w:r>
        <w:rPr>
          <w:rFonts w:ascii="Noto Sans CJK SC" w:hAnsi="Noto Sans CJK SC" w:eastAsia="Noto Sans CJK SC"/>
          <w:sz w:val="21"/>
        </w:rPr>
        <w:t>本文档是基于公开文献摘要、DOI 元数据、CRAN 文档和项目主页形成的方案论证稿，不替代正式的系统综述、软件验证或生物学实验。若用于开题或论文，应根据最终实现版本补充软件版本、数据集、实验设计、统计检验和误差分析。</w:t>
      </w:r>
    </w:p>
    <w:p>
      <w:pPr>
        <w:spacing w:after="100"/>
        <w:ind w:firstLine="420"/>
      </w:pPr>
      <w:r>
        <w:rPr>
          <w:rFonts w:ascii="Noto Sans CJK SC" w:hAnsi="Noto Sans CJK SC" w:eastAsia="Noto Sans CJK SC"/>
          <w:sz w:val="21"/>
        </w:rPr>
        <w:t>建议提交前重点核对：相近工具的最新版本；2026 年论文的正式发表状态；API、模型和数据库的版本；本地或云端模型的数据处理政策；以及所有生物学结论是否有对应数据或文献证据。</w:t>
      </w:r>
    </w:p>
    <w:sectPr w:rsidR="00FC693F" w:rsidRPr="0006063C" w:rsidSect="00034616">
      <w:headerReference w:type="default" r:id="rId9"/>
      <w:footerReference w:type="default" r:id="rId10"/>
      <w:pgSz w:w="11905" w:h="16838"/>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sz w:val="18"/>
      </w:rPr>
      <w:t xml:space="preserve">第 </w:t>
      <w:fldChar w:fldCharType="begin"/>
      <w:instrText xml:space="preserve">PAGE</w:instrText>
      <w:fldChar w:fldCharType="end"/>
    </w:r>
    <w:r>
      <w:rPr>
        <w:rFonts w:ascii="Noto Sans CJK SC" w:hAnsi="Noto Sans CJK S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F8C8D"/>
        <w:sz w:val="16"/>
      </w:rPr>
      <w:t>生物信息学多分析结果解释与 R 代码错误诊断方案论证报告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CJK SC" w:hAnsi="Noto Sans CJK SC" w:eastAsia="Noto Sans CJK SC"/>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00"/>
      <w:jc w:val="center"/>
    </w:pPr>
    <w:rPr>
      <w:rFonts w:ascii="Noto Sans CJK SC" w:hAnsi="Noto Sans CJK SC" w:eastAsia="Noto Sans CJK SC"/>
      <w:color w:val="5B6573"/>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86/gb-2004-5-10-r80" TargetMode="External"/><Relationship Id="rId12" Type="http://schemas.openxmlformats.org/officeDocument/2006/relationships/hyperlink" Target="https://doi.org/10.1186/s12859-018-2486-6" TargetMode="External"/><Relationship Id="rId13" Type="http://schemas.openxmlformats.org/officeDocument/2006/relationships/hyperlink" Target="https://doi.org/10.1186/s13059-014-0550-8" TargetMode="External"/><Relationship Id="rId14" Type="http://schemas.openxmlformats.org/officeDocument/2006/relationships/hyperlink" Target="https://doi.org/10.1093/nar/gkv007" TargetMode="External"/><Relationship Id="rId15" Type="http://schemas.openxmlformats.org/officeDocument/2006/relationships/hyperlink" Target="https://doi.org/10.1093/bioinformatics/btp616" TargetMode="External"/><Relationship Id="rId16" Type="http://schemas.openxmlformats.org/officeDocument/2006/relationships/hyperlink" Target="https://doi.org/10.1073/pnas.0506580102" TargetMode="External"/><Relationship Id="rId17" Type="http://schemas.openxmlformats.org/officeDocument/2006/relationships/hyperlink" Target="https://doi.org/10.1016/j.xinn.2021.100141" TargetMode="External"/><Relationship Id="rId18" Type="http://schemas.openxmlformats.org/officeDocument/2006/relationships/hyperlink" Target="https://doi.org/10.1016/j.cell.2019.05.031" TargetMode="External"/><Relationship Id="rId19" Type="http://schemas.openxmlformats.org/officeDocument/2006/relationships/hyperlink" Target="https://doi.org/10.1038/s41467-021-25960-2" TargetMode="External"/><Relationship Id="rId20" Type="http://schemas.openxmlformats.org/officeDocument/2006/relationships/hyperlink" Target="https://doi.org/10.1038/s41592-024-02235-4" TargetMode="External"/><Relationship Id="rId21" Type="http://schemas.openxmlformats.org/officeDocument/2006/relationships/hyperlink" Target="https://doi.org/10.1101/2024.04.11.588958" TargetMode="External"/><Relationship Id="rId22" Type="http://schemas.openxmlformats.org/officeDocument/2006/relationships/hyperlink" Target="https://doi.org/10.1038/s41592-024-02525-x" TargetMode="External"/><Relationship Id="rId23" Type="http://schemas.openxmlformats.org/officeDocument/2006/relationships/hyperlink" Target="https://doi.org/10.1038/s41592-025-02748-6" TargetMode="External"/><Relationship Id="rId24" Type="http://schemas.openxmlformats.org/officeDocument/2006/relationships/hyperlink" Target="https://doi.org/10.1093/bioadv/vbaf054" TargetMode="External"/><Relationship Id="rId25" Type="http://schemas.openxmlformats.org/officeDocument/2006/relationships/hyperlink" Target="https://doi.org/10.1093/bioinformatics/btaf402" TargetMode="External"/><Relationship Id="rId26" Type="http://schemas.openxmlformats.org/officeDocument/2006/relationships/hyperlink" Target="https://doi.org/10.1038/s41467-025-64511-x" TargetMode="External"/><Relationship Id="rId27" Type="http://schemas.openxmlformats.org/officeDocument/2006/relationships/hyperlink" Target="https://doi.org/10.1038/s41587-024-02534-3" TargetMode="External"/><Relationship Id="rId28" Type="http://schemas.openxmlformats.org/officeDocument/2006/relationships/hyperlink" Target="https://doi.org/10.1093/bioinformatics/btag102" TargetMode="External"/><Relationship Id="rId29" Type="http://schemas.openxmlformats.org/officeDocument/2006/relationships/hyperlink" Target="https://doi.org/10.1016/j.patter.2026.101611" TargetMode="External"/><Relationship Id="rId30" Type="http://schemas.openxmlformats.org/officeDocument/2006/relationships/hyperlink" Target="https://doi.org/10.1093/bioadv/vbaf169" TargetMode="External"/><Relationship Id="rId31" Type="http://schemas.openxmlformats.org/officeDocument/2006/relationships/hyperlink" Target="https://doi.org/10.1093/bioadv/vbae166" TargetMode="External"/><Relationship Id="rId32" Type="http://schemas.openxmlformats.org/officeDocument/2006/relationships/hyperlink" Target="https://doi.org/10.1128/jmbe.00331-25" TargetMode="External"/><Relationship Id="rId33" Type="http://schemas.openxmlformats.org/officeDocument/2006/relationships/hyperlink" Target="https://doi.org/10.48550/arXiv.2304.05128" TargetMode="External"/><Relationship Id="rId34" Type="http://schemas.openxmlformats.org/officeDocument/2006/relationships/hyperlink" Target="https://posit-dev.github.io/btw/" TargetMode="External"/><Relationship Id="rId35" Type="http://schemas.openxmlformats.org/officeDocument/2006/relationships/hyperlink" Target="https://cran.r-project.org/web/packages/gander/index.html" TargetMode="External"/><Relationship Id="rId36" Type="http://schemas.openxmlformats.org/officeDocument/2006/relationships/hyperlink" Target="https://ellmer.tidyverse.org/" TargetMode="External"/><Relationship Id="rId37" Type="http://schemas.openxmlformats.org/officeDocument/2006/relationships/hyperlink" Target="https://stat.ethz.ch/R-manual/R-devel/library/base/html/condi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生物信息学多分析结果解释与 R 代码错误诊断：文献调研与方案论证</dc:title>
  <dc:subject>单细胞、差异表达、转录组、富集、图表与 R 错误诊断</dc:subject>
  <dc:creator/>
  <cp:keywords>bioinformatics, R, LLM, single-cell, interpretation, debugging, education</cp:keywords>
  <dc:description>generated by python-docx</dc:description>
  <cp:lastModifiedBy/>
  <cp:revision>1</cp:revision>
  <dcterms:created xsi:type="dcterms:W3CDTF">2013-12-23T23:15:00Z</dcterms:created>
  <dcterms:modified xsi:type="dcterms:W3CDTF">2013-12-23T23:15:00Z</dcterms:modified>
  <cp:category/>
</cp:coreProperties>
</file>