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BioExplainR：面向已有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生物信息学结果的确定性事实、可追溯解释与联合核对平台</w:t>
      </w:r>
    </w:p>
    <w:p>
      <w:pPr>
        <w:pStyle w:val="Subtitle"/>
      </w:pPr>
      <w:r>
        <w:rPr>
          <w:b w:val="0"/>
          <w:i w:val="0"/>
        </w:rPr>
        <w:t>中文论文初稿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v0.8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·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当前开发版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0.4.0.9000</w:t>
      </w:r>
    </w:p>
    <w:p>
      <w:pPr/>
      <w:r>
        <w:rPr>
          <w:b w:val="0"/>
          <w:i w:val="0"/>
        </w:rPr>
        <w:t>2026-10-08</w:t>
      </w:r>
    </w:p>
    <w:p>
      <w:r>
        <w:rPr>
          <w:b/>
          <w:i w:val="0"/>
        </w:rPr>
        <w:t>作者：</w:t>
      </w:r>
      <w:r>
        <w:rPr>
          <w:b w:val="0"/>
          <w:i w:val="0"/>
        </w:rPr>
        <w:t>［待填写］</w:t>
      </w:r>
    </w:p>
    <w:p>
      <w:r>
        <w:rPr>
          <w:b/>
          <w:i w:val="0"/>
        </w:rPr>
        <w:t>单位：</w:t>
      </w:r>
      <w:r>
        <w:rPr>
          <w:b w:val="0"/>
          <w:i w:val="0"/>
        </w:rPr>
        <w:t>［待填写］</w:t>
      </w:r>
    </w:p>
    <w:p>
      <w:r>
        <w:rPr>
          <w:b/>
          <w:i w:val="0"/>
        </w:rPr>
        <w:t>通讯作者及邮箱：</w:t>
      </w:r>
      <w:r>
        <w:rPr>
          <w:b w:val="0"/>
          <w:i w:val="0"/>
        </w:rPr>
        <w:t>［待填写］</w:t>
      </w:r>
    </w:p>
    <w:p>
      <w:pPr>
        <w:pStyle w:val="Heading1"/>
      </w:pPr>
      <w:r>
        <w:rPr>
          <w:b w:val="0"/>
          <w:i w:val="0"/>
        </w:rPr>
        <w:t>摘要</w:t>
      </w:r>
    </w:p>
    <w:p>
      <w:r>
        <w:rPr>
          <w:b/>
          <w:i w:val="0"/>
        </w:rPr>
        <w:t>目的：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生物信息学分析的计算结果与自然语言解释之间存在信息断层。初级研究者即使能够运行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代码，仍可能混淆比较方向、校正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值、独立重复和跨组学证据。本文构建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BioExplainR，将可精确计算的事实、可选模型生成的措辞与可检查的声明分开记录，形成对象解释、图形核对、项目整合与报告导出的连续工作流。</w:t>
      </w:r>
    </w:p>
    <w:p>
      <w:r>
        <w:rPr>
          <w:b/>
          <w:i w:val="0"/>
        </w:rPr>
        <w:t>方法：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平台在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侧从完整输入对象计算确定性事实，构建带来源、研究范围、设计、量纲和不确定性的统一上下文；完整事实与有界预览形成显式预算控制的模型载荷。采用六个公开数据来源展示差异表达、单细胞、微阵列和多组学应用，并以源表重算、受控错误注入、安装包复现及浏览器自动化分别评价事实提取与工程行为。历史输入消融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个程序生成案例、480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个唯一目标事实、三种输入方法与三轮重复；本轮增加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九组阈值的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项核对，以及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个覆盖映射、比较方向、图形和页面衔接的开发场景。</w:t>
      </w:r>
    </w:p>
    <w:p>
      <w:r>
        <w:rPr>
          <w:b/>
          <w:i w:val="0"/>
        </w:rPr>
        <w:t>结果：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在校正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&lt;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0.05、|log2FC|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时得到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999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个显著特征，其中上调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519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个、下调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个；新增阈值事实核对为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45/45。PBMC3k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在两类单细胞对象中均保留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2,700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个细胞、32,738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个特征与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个供体的独立单位信息。pasilla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六组阈值的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项保存数值核对全部一致。miniACC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个病例中，43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个五模态完整；46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个分期已知的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RNA/蛋白配对病例包含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个共有特征，其中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个同向、15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个反向，RNA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和蛋白分别有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个特征通过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&lt;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0.05。历史消融中，有界原始输出匹配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437/1,440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个目标（30.35%），两种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事实输入均匹配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1,440/1,440；15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个新增场景均返回预期状态。本轮源码检查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677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676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项通过、1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项跳过，包检查为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Status: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OK，项目显示及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下载通过浏览器验收。</w:t>
      </w:r>
    </w:p>
    <w:p>
      <w:r>
        <w:rPr>
          <w:b/>
          <w:i w:val="0"/>
        </w:rPr>
        <w:t>结论：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在固定案例和受控挑战中支持将统计事实、来源、研究范围与验证状态共同保留到解释和报告。平台的优势体现在事实传递、分析边界显式化及错误可定位性；这些终点不等同于自由文本全面正确或生物学泛化。专家评价与用户体验研究留待后续补充。</w:t>
      </w:r>
    </w:p>
    <w:p>
      <w:r>
        <w:rPr>
          <w:b/>
          <w:i w:val="0"/>
        </w:rPr>
        <w:t>关键词：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生物信息学；R；确定性事实；大语言模型；多组学；可追溯解释；Shiny</w:t>
      </w:r>
    </w:p>
    <w:p>
      <w:pPr>
        <w:pStyle w:val="Heading1"/>
      </w:pP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引言</w:t>
      </w:r>
    </w:p>
    <w:p>
      <w:r>
        <w:rPr>
          <w:b w:val="0"/>
          <w:i w:val="0"/>
        </w:rPr>
        <w:t>R/Bioconductor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是转录组、单细胞和多组学研究的重要计算环境。DESeq2、limma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edgeR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将实验设计转化为可检验的统计模型，SingleCellExperiment、Seurat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MultiAssayExperiment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则组织不同层级的表达、表型及模态信息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[1–6]。分析完成后，研究者还需要回答“改变的数量是多少”</w:t>
      </w:r>
      <w:r>
        <w:t>"</w:t>
      </w:r>
      <w:r>
        <w:rPr>
          <w:b w:val="0"/>
          <w:i w:val="0"/>
        </w:rPr>
        <w:t>方向相对于哪个参照</w:t>
      </w:r>
      <w:r>
        <w:t>"</w:t>
      </w:r>
      <w:r>
        <w:t>"</w:t>
      </w:r>
      <w:r>
        <w:rPr>
          <w:b w:val="0"/>
          <w:i w:val="0"/>
        </w:rPr>
        <w:t>图与源结果是否对应</w:t>
      </w:r>
      <w:r>
        <w:t>"</w:t>
      </w:r>
      <w:r>
        <w:t>"</w:t>
      </w:r>
      <w:r>
        <w:rPr>
          <w:b w:val="0"/>
          <w:i w:val="0"/>
        </w:rPr>
        <w:t>哪些结论仍需证据</w:t>
      </w:r>
      <w:r>
        <w:t>"</w:t>
      </w:r>
      <w:r>
        <w:rPr>
          <w:b w:val="0"/>
          <w:i w:val="0"/>
        </w:rPr>
        <w:t>等问题。本文的目标用户是能运行分析代码、但尚不能独立审查统计和生物学解释的初级研究者。</w:t>
      </w:r>
    </w:p>
    <w:p>
      <w:r>
        <w:rPr>
          <w:b w:val="0"/>
          <w:i w:val="0"/>
        </w:rPr>
        <w:t>这一需求不只是把结果转换成流畅文字。例如，有限顶部行无法决定全表显著特征数；缺失校正值不等于无检验；单供体的数千个细胞不能成为数千个独立重复；同一批病例的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与蛋白结果也不是独立队列确认。若这些约束没有进入解释入口，语言生成可能使其进一步隐形。面向生物医学的模型工具已覆盖细胞标注、工作流辅助、基因集解释与通用代理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[7–11]，交互式实验对象探索和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模型连接也有成熟基础设施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[12,13]。但这些工具的核心任务及评价终点不同，不能把自动化能力、标签准确率与已有结果的事实传递合并成一个指标。</w:t>
      </w:r>
    </w:p>
    <w:p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关注“已有对象的解释与检查层”：将计数、方向、方差比例和覆盖分母交给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R；将可选模型用于组织语言；再以显式声明、图形映射、样本关系与修复条件记录检查结果。平台并不提出新的差异表达算法，而是把分散在对象、脚本、图和说明文字中的信息连接为可追踪的工作流（图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1）。本文的贡献包括统一上下文和完整事实载荷、分项验证及范围记录，以及支持代码、对象、项目、图形和报告衔接的本地浏览器工作台。六个公开来源和若干针对性案例用于展示这些设计的实际作用（表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1）；专家与用户研究的位置在文末预留。</w:t>
      </w:r>
    </w:p>
    <w:p>
      <w:pPr>
        <w:pStyle w:val="Heading1"/>
      </w:pP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方法</w:t>
      </w:r>
    </w:p>
    <w:p>
      <w:pPr>
        <w:pStyle w:val="Heading2"/>
      </w:pPr>
      <w:r>
        <w:rPr>
          <w:b w:val="0"/>
          <w:i w:val="0"/>
        </w:rPr>
        <w:t>2.1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研究设计、版本与评价层级</w:t>
      </w:r>
    </w:p>
    <w:p>
      <w:r>
        <w:rPr>
          <w:b w:val="0"/>
          <w:i w:val="0"/>
        </w:rPr>
        <w:t>研究包含对象接入、数值事实核对、受控机制挑战、模型结构化传递和工程验收五个层级。对象接入评价来源类、维度及设计字段；数值核对比较适配器值与直接源表计算；机制挑战注入事先定义的错误并检查返回状态；模型实验评价显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fact-path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和标量值的传递；工程验收评价安装、传输、页面及下载行为。不同层级使用不同分母，不合并为总体“准确率”。</w:t>
      </w:r>
    </w:p>
    <w:p>
      <w:r>
        <w:rPr>
          <w:b w:val="0"/>
          <w:i w:val="0"/>
        </w:rPr>
        <w:t>当前平台为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0.4.0.9000，运行环境为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Ubuntu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24.04.4、R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4.3.3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Bioconductor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3.18。模型规模实验及五数据集保存结果产生于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0.3.1；本稿离线回读这些记录，并另外报告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0.4.0.9000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开发案例、安装包复现和本轮新增场景。版本、命令、UTC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时间、退出码及逐文件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SHA-256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分别进入运行清单。miniACC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和新增场景用于开发应用与工程验证，不标记为冻结的独立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test/gold。</w:t>
      </w:r>
    </w:p>
    <w:p>
      <w:pPr>
        <w:pStyle w:val="Heading2"/>
      </w:pPr>
      <w:r>
        <w:rPr>
          <w:b w:val="0"/>
          <w:i w:val="0"/>
        </w:rPr>
        <w:t>2.2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统一上下文与事实计算流程</w:t>
      </w:r>
    </w:p>
    <w:p>
      <w:r>
        <w:rPr>
          <w:b w:val="0"/>
          <w:i w:val="0"/>
        </w:rPr>
        <w:t>平台首先依据类及接口分派输入。已测试入口包含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DESeqResults、MArrayLM、TopTags、SummarizedExperiment、SingleCellExperiment、SeuratObject、ExpressionSet、MultiAssayExperiment、prcomp、ggplot，以及符合约定的结果表；其余接口支持范围以安装帮助和数据契约为准。真实来源类可记录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verified_class，用户声明的来源记录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user_declared；列名推测不提升为来源已确认。多系数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limma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拟合要求明确所选系数。</w:t>
      </w:r>
    </w:p>
    <w:p>
      <w:r>
        <w:rPr>
          <w:b w:val="0"/>
          <w:i w:val="0"/>
        </w:rPr>
        <w:t>适配后的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bio_context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包含分析类型、来源类与软件包、来源状态、确定性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facts、有限顶部预览、参数、图形映射和不确定性。当前契约进一步保存研究范围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scope、设计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design、事实描述符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fact_descriptors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和上下文标识。scope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记录数据集、比较、物种、组织、模态与观测层级；design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可记录独立单位、分子/分母和配对方式；描述符为事实标明特征、单位、来源路径、计算规则及完整性。软件能检查被明确提供的信息，不会从缺失字段补造研究设计。</w:t>
      </w:r>
    </w:p>
    <w:p>
      <w:r>
        <w:rPr>
          <w:b w:val="0"/>
          <w:i w:val="0"/>
        </w:rPr>
        <w:t>完整输入用于适用的确定性计算，有界预览只服务展示。差异表达、富集、PCA、单细胞及多模态适配器生成类型相应的标量或结构化事实。大矩阵的某些诊断采用取样或稀疏摘要，相关检查范围保留于输出，不能由局部检查推断全矩阵均无问题。用于解释的上下文与本地原始对象分开保存，原始表达矩阵、样本映射和坐标不作为默认模型载荷。</w:t>
      </w:r>
    </w:p>
    <w:p>
      <w:pPr>
        <w:pStyle w:val="Heading2"/>
      </w:pPr>
      <w:r>
        <w:rPr>
          <w:b w:val="0"/>
          <w:i w:val="0"/>
        </w:rPr>
        <w:t>2.3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阈值、缺失值及显示精度</w:t>
      </w:r>
    </w:p>
    <w:p>
      <w:r>
        <w:rPr>
          <w:b w:val="0"/>
          <w:i w:val="0"/>
        </w:rPr>
        <w:t>对于给定校正阈值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和效应阈值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τ，差异表达筛选集合为：校正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值及效应非缺失、P_adj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&lt;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α、且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|log2FC|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的特征。上调和下调分别由集合内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log2FC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的正负确定。特征总数、显著数、上下调数、缺失校正值数均从完整提供的结果表计算。阈值使用严格小于/大于；NA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不作零，也不写为未显著的确定结论。</w:t>
      </w:r>
    </w:p>
    <w:p>
      <w:r>
        <w:rPr>
          <w:b w:val="0"/>
          <w:i w:val="0"/>
        </w:rPr>
        <w:t>校正值沿用上游对象的统计流程；若用户明确要求从原始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值计算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BH，平台记录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computed_BH。只有原始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值的表格保留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raw-only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状态，不生成冒充校正显著性的计数。BH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方法参照既有定义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[14]；DESeq2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独立过滤可导致校正值缺失，应结合其来源解释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[1,15]。用于载荷及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请求的数值保留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位序列化精度，文本显示可另行舍入。PCA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方差比例保存计算精度；表、图和正文中的舍入值不用于替代评分参考值。</w:t>
      </w:r>
    </w:p>
    <w:p>
      <w:pPr>
        <w:pStyle w:val="Heading2"/>
      </w:pPr>
      <w:r>
        <w:rPr>
          <w:b w:val="0"/>
          <w:i w:val="0"/>
        </w:rPr>
        <w:t>2.4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模型载荷、本地解释与显式预算</w:t>
      </w:r>
    </w:p>
    <w:p>
      <w:r>
        <w:rPr>
          <w:b w:val="0"/>
          <w:i w:val="0"/>
        </w:rPr>
        <w:t>本地模板无需模型连接即可输出数据事实、统计含义、候选生物学解释、不确定性与不能推出的结论。在线模式由用户配置服务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URL、密钥和模型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ID，支持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OpenAI-compatible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Anthropic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Messages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协议。解释入口默认传递完整确定性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facts，并限制顶部预览与其他展示内容；完整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超出显式字符预算时失败并说明原因，当前没有自动全覆盖分块协议。旧接口保留的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bounded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兼容策略与历史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direct_bounded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基线不代表当前默认事实载荷。</w:t>
      </w:r>
    </w:p>
    <w:p>
      <w:r>
        <w:rPr>
          <w:b w:val="0"/>
          <w:i w:val="0"/>
        </w:rPr>
        <w:t>递归载荷策略过滤秘密、路径、样本/细胞标识和私有结构，并对公开证据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URL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做结构化过滤；HTTP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清单区分载荷与实际请求体的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bytes/hash，保留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计数。模型仅根据已提供事实组织文字，不承担完整长表重算，也不会自动执行生成代码。工作台默认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English，可切换简体中文；语言选择不改变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事实和判定规则。</w:t>
      </w:r>
    </w:p>
    <w:p>
      <w:pPr>
        <w:pStyle w:val="Heading2"/>
      </w:pPr>
      <w:r>
        <w:rPr>
          <w:b w:val="0"/>
          <w:i w:val="0"/>
        </w:rPr>
        <w:t>2.5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证据检索与分项声明验证</w:t>
      </w:r>
    </w:p>
    <w:p>
      <w:r>
        <w:rPr>
          <w:b w:val="0"/>
          <w:i w:val="0"/>
        </w:rPr>
        <w:t>证据检索由用户显式开启，可连接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Europe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PMC、QuickGO、Reactome、KEGG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UniProt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[16–20]。证据对象保留来源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ID、标题、URL、访问时间、提供方式、scope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与角色。检索命中、数据库注释、候选支持关系与专家确认是不同状态；平台不把题名命中自动当作论断已获支持。</w:t>
      </w:r>
    </w:p>
    <w:p>
      <w:r>
        <w:rPr>
          <w:b w:val="0"/>
          <w:i w:val="0"/>
        </w:rPr>
        <w:t>显式声明验证接收上下文、声明及给定证据集合，检查事实路径、值类型、数值、方向、单位和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scope。历史机制实验使用非零参考值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10⁻⁶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相对容差，参考为零时使用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10⁻⁶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绝对容差，字符串精确匹配；有界顶部表路径对应保存的预览值。当前类型化声明及证据关系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findings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参与总体状态，旧兼容判定单独保留。不存在值或范围不足时为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partial/unverified，而非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pass。引用闭集检查只判断引用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是否来自已提供集合，不证明文章支持论断；未声明自由文本不因数值通过而获得整体认证。</w:t>
      </w:r>
    </w:p>
    <w:p>
      <w:pPr>
        <w:pStyle w:val="Heading2"/>
      </w:pPr>
      <w:r>
        <w:rPr>
          <w:b w:val="0"/>
          <w:i w:val="0"/>
        </w:rPr>
        <w:t>2.6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图形、代码记录与修复不变量</w:t>
      </w:r>
    </w:p>
    <w:p>
      <w:r>
        <w:rPr>
          <w:b w:val="0"/>
          <w:i w:val="0"/>
        </w:rPr>
        <w:t>基于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ggplot2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的图形接口提供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PCA、UMAP/已有嵌入、富集气泡图与热图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[21]。图形核对使用明确的源对象：火山图比较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ID/可配对行的效应和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值来源；PCA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比较坐标、方差比例和轴标签；富集图比较条目、比例、Count、颜色和大小。允许预期子集必须显式指定。不能配对或超出支持图层范围时为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not_checkable。判定针对标度和坐标变换前的映射值，不覆盖所有像素、裁剪或人工注释。</w:t>
      </w:r>
    </w:p>
    <w:p>
      <w:r>
        <w:rPr>
          <w:b w:val="0"/>
          <w:i w:val="0"/>
        </w:rPr>
        <w:t>用户代码通过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bio_record_code()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保存状态、警告、错误现场调用栈、对象摘要和软件调用表达式。显式提交的修复代码在独立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进程执行，并核对预先指定的类型、行数或因子水平等不变量；未设置不变量时仅记录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runtime_only。独立进程分隔会话状态，但不是操作系统沙箱。本文分别保存可运行且保持参照水平、可运行但反转参照水平的挑战，评价“可运行”与“满足指定条件”的区别。</w:t>
      </w:r>
    </w:p>
    <w:p>
      <w:pPr>
        <w:pStyle w:val="Heading2"/>
      </w:pPr>
      <w:r>
        <w:rPr>
          <w:b w:val="0"/>
          <w:i w:val="0"/>
        </w:rPr>
        <w:t>2.7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多模态覆盖、依赖及明确方向关系</w:t>
      </w:r>
    </w:p>
    <w:p>
      <w:r>
        <w:rPr>
          <w:b w:val="0"/>
          <w:i w:val="0"/>
        </w:rPr>
        <w:t>样本映射使用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modality、source_id、biological_unit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三个必需字段，并显式记录技术重复角色。验证器重新核对已构造映射，拒绝缺失/重复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observed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ID，将观测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与映射双侧比较；完整病例集合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primary_units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提供共同分母。输出包括每模态观测/缺失病例、两两交集、全部模态完整病例与未测量病例。映射的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仅说明被核对的对应关系合法，不能解释为所有病例均测齐。</w:t>
      </w:r>
    </w:p>
    <w:p>
      <w:r>
        <w:rPr>
          <w:b w:val="0"/>
          <w:i w:val="0"/>
        </w:rPr>
        <w:t>项目依赖图区分原始来源和派生结果，拒绝循环和未知依赖。方向关系验证针对显式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from/to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事实、共有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feature_id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与预期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same/opposite；先核对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set/comparison/species/tissue/sample_level、分子/分母及特征身份，再比较有限非零效应的符号。零效应或缺失科学范围不自动通过。两种效应可以具有不同量纲，因此这里仅比较符号，不比较绝对幅度；同向也不代表双方显著、机制一致、因果或独立确认。</w:t>
      </w:r>
    </w:p>
    <w:p>
      <w:pPr>
        <w:pStyle w:val="Heading2"/>
      </w:pPr>
      <w:r>
        <w:rPr>
          <w:b w:val="0"/>
          <w:i w:val="0"/>
        </w:rPr>
        <w:t>2.8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公开案例及预处理</w:t>
      </w:r>
    </w:p>
    <w:p>
      <w:r>
        <w:rPr>
          <w:b/>
          <w:i w:val="0"/>
        </w:rPr>
        <w:t>airway：配对转录组及阈值敏感性。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1.22.0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的人气道平滑肌地塞米松数据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GSE52778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[22]。保留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rowSums(counts)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的基因，以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~ cell + dex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设计拟合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1.42.0，设置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untrt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为参照，比较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untrt；主阈值为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P_adj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&lt;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0.05、|log2FC|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1，未执行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LFC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shrinkage。效应阈值是结果筛选条件，不是“效应超过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1”的原假设检验。PCA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VST(blind=FALSE)，选择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个最高方差非恒定特征，中心化、不标准化。limma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voom/经验贝叶斯与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edgeR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准似然流程使用相同过滤和设计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[2,3,23]，各自结果不要求与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显著数相同。本轮从保存的真实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DESeqResults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回读，在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α∈{0.01,0.05,0.10}、τ∈{0,1,2}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九组条件下独立重算五项全表事实（表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2）。</w:t>
      </w:r>
    </w:p>
    <w:p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Reactome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使用带哈希的映射快照，保留人类且位于差异表内的基因；以有注释基因为背景，筛选大小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10–500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的通路，做超几何检验并对全部检验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校正。对象接入和解释不把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显著性直接称作通路激活。</w:t>
      </w:r>
    </w:p>
    <w:p>
      <w:r>
        <w:rPr>
          <w:b/>
          <w:i w:val="0"/>
        </w:rPr>
        <w:t>PBMC3k：单细胞与独立观测单位。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Genomics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公开过滤矩阵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[24]，保存每细胞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UMI、检测基因和线粒体比例。SCE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SeuratObject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对象均使用同一矩阵及单供体信息。表达按每细胞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10,000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缩放后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log1p，选择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1,000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个最高方差特征作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PCA，再由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uwot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0.1.16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生成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UMAP，种子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20261004，单线程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[25]。保留全部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2,700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个细胞，线粒体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仅用于图示分组，不实施细胞类型准确率评价或供体间差异推断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[26]。本轮重新核对保存的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是否同时保留细胞数和供体数。</w:t>
      </w:r>
    </w:p>
    <w:p>
      <w:r>
        <w:rPr>
          <w:b/>
          <w:i w:val="0"/>
        </w:rPr>
        <w:t>pasilla、ALL</w:t>
      </w:r>
      <w:r>
        <w:rPr>
          <w:b/>
          <w:i w:val="0"/>
        </w:rPr>
        <w:t xml:space="preserve"> </w:t>
      </w:r>
      <w:r>
        <w:rPr>
          <w:b/>
          <w:i w:val="0"/>
        </w:rPr>
        <w:t>与</w:t>
      </w:r>
      <w:r>
        <w:rPr>
          <w:b/>
          <w:i w:val="0"/>
        </w:rPr>
        <w:t xml:space="preserve"> </w:t>
      </w:r>
      <w:r>
        <w:rPr>
          <w:b/>
          <w:i w:val="0"/>
        </w:rPr>
        <w:t>bladderbatch：补充来源和设计字段。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pasilla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1.30.0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~ type + condition</w:t>
      </w:r>
      <w:r>
        <w:rPr>
          <w:b w:val="0"/>
          <w:i w:val="0"/>
        </w:rPr>
        <w:t>，比较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treated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untreated；沿用保存的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α∈{0.01,0.05,0.10}、τ∈{0,1}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六组阈值、五事实核对（表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3）。它未参与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airway/PBMC3k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初始开发，但这里只评价数值摘要，不是独立模型解释质量。ALL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bladderbatch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使用固定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Bioconductor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归档的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ExpressionSet，检查维度、分组、表型和批次字段，不重拟合差异模型或实施批次校正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[27,28]。</w:t>
      </w:r>
    </w:p>
    <w:p>
      <w:r>
        <w:rPr>
          <w:b/>
          <w:i w:val="0"/>
        </w:rPr>
        <w:t>miniACC：多组学覆盖与方向关系。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MultiAssayExperiment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1.28.0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内置的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TCGA-ACC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缩减对象，原研究出处和对象组织方法分别见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[6,29]。数据包含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个病例和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RNA、拷贝数、RPPA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蛋白、突变、miRNA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五模态。本轮纳入此前保存的开发分析与实际安装包重跑。先校验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sampleMap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与实验列名，再以全部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个病例为分母统计覆盖。在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RNA/蛋白均有测量且分期已知的病例中，stage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I/II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early，III/IV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late；按共有行名选特征，RNA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log2(归一化表达+1)，蛋白保留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RPPA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标准化值。每模态效应为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mean(late)−mean(early)，Wilcoxon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秩和检验使用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exact=FALSE、correct=TRUE，BH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在各模态的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特征内分别计算（表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4、表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5）。这不是配对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early/late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的检验：配对指同一病例同时具有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与蛋白，分期组之间是不同病例。分期未随机化，未调整年龄、肿瘤纯度或分子亚型；缩减对象的选择范围不支持新的临床结论。</w:t>
      </w:r>
    </w:p>
    <w:p>
      <w:pPr>
        <w:pStyle w:val="Heading2"/>
      </w:pPr>
      <w:r>
        <w:rPr>
          <w:b w:val="0"/>
          <w:i w:val="0"/>
        </w:rPr>
        <w:t>2.9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历史输入消融、双模型及评分规则</w:t>
      </w:r>
    </w:p>
    <w:p>
      <w:r>
        <w:rPr>
          <w:b w:val="0"/>
          <w:i w:val="0"/>
        </w:rPr>
        <w:t>历史主消融使用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个可复现程序案例：差异表达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30、富集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20、PCA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20、SCE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20、细胞组成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15、generic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15；每案例四个标量目标，共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个唯一目标。比较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direct_bounded（有限原始预览）、facts_only（R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全输入计算事实）和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facts_evidence（同一事实加保存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Europe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PMC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记录）。三方法各重复三轮，共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1,080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实际请求、4,320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逐事实评分；每方法分母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1,440。参考事实从完整源对象计算，不使用模型响应。</w:t>
      </w:r>
    </w:p>
    <w:p>
      <w:r>
        <w:rPr>
          <w:b w:val="0"/>
          <w:i w:val="0"/>
        </w:rPr>
        <w:t>DeepSeek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deepseek-flash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请求采用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OpenAI-compatible、temperature=0、thinking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disabled、JSON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mode、5,000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输出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上限、120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秒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timeout，瞬时错误最多重试一次。direct_bounded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允许无法判断时返回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ull；它是信息受限基线，不是代码执行代理。匹配率=匹配目标/全部目标，覆盖率=已回答标量/全部目标，已回答准确率=匹配/已回答。未回答记为未完成，不填补。重复共享输入与目标，只作描述性统计，不当作独立生物数据推断。</w:t>
      </w:r>
    </w:p>
    <w:p>
      <w:r>
        <w:rPr>
          <w:b w:val="0"/>
          <w:i w:val="0"/>
        </w:rPr>
        <w:t>双模型共同任务使用相同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案例和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目标，StepFun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step-5-preview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DeepSeek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deepseek-flash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各调用一轮，temperature=0、最多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输出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token，最终均关闭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response_format=json_object。输入、提示、预算和评分相同，提示要求完整精度小数复制。模型别名无不可变快照，跨时间确定性未获保证。本轮只核对保存响应，不新增在线请求（表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6、表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7）。相关工具的保存入口检查涉及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iSEE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真实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SCE/UMAP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浏览器、GPTCelltype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marker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到提示、ellmer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与本平台的响应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replay；这些不是完整共同任务性能排名。</w:t>
      </w:r>
    </w:p>
    <w:p>
      <w:pPr>
        <w:pStyle w:val="Heading2"/>
      </w:pPr>
      <w:r>
        <w:rPr>
          <w:b w:val="0"/>
          <w:i w:val="0"/>
        </w:rPr>
        <w:t>2.10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机制挑战、新增场景与工程复现</w:t>
      </w:r>
    </w:p>
    <w:p>
      <w:r>
        <w:rPr>
          <w:b w:val="0"/>
          <w:i w:val="0"/>
        </w:rPr>
        <w:t>历史声明挑战在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个事实加证据响应中分别注入错误数字、未知路径、向量值、未知引用及仅路径无值声明，共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项；移除验证器记为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unchecked。图形挑战为三张正确图与六种注入错误；修复挑战为保持/反转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untrt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参照水平的两段可运行代码。</w:t>
      </w:r>
    </w:p>
    <w:p>
      <w:r>
        <w:rPr>
          <w:b w:val="0"/>
          <w:i w:val="0"/>
        </w:rPr>
        <w:t>本轮新脚本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research/paper_cn/run_cases.R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从保存公开对象和手算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fixture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执行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个场景（表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8）：阈值核对、单供体保留、正确/错误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PCA、raw-only、完整事实超预算、合法但不完整的映射、观测未映射、病例越界、正确/错误跨模态关系、反转比较、范围缺失以及工作台项目分派。每项事先写明预期状态；错误注入标明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controlled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mutation，不作为自然发生率估计。</w:t>
      </w:r>
    </w:p>
    <w:p>
      <w:r>
        <w:rPr>
          <w:b w:val="0"/>
          <w:i w:val="0"/>
        </w:rPr>
        <w:t>工程检查包括源码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testthat、构建包检查、真实安装及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Imports-only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smoke、历史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名称/位置参数、两种协议的实际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bytes/hash、浏览器桌面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1440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与移动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390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像素视口，以及独立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bwrap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边界探针。浏览器以真实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项目检查覆盖、方向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findings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和报告回读，并下载实际生成的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PDF。不同连接各有独立工作区，但仍共享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R/文件/网络权限；bwrap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的独立探针不能用于宣称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Shiny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为多租户沙箱。Python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独立实现从保存长表重算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个效应、符号、覆盖和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BH，未独立重算原始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Wilcoxon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值或从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解码原矩阵（表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9）。</w:t>
      </w:r>
    </w:p>
    <w:p>
      <w:pPr>
        <w:pStyle w:val="Heading1"/>
      </w:pP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结果</w:t>
      </w:r>
    </w:p>
    <w:p>
      <w:pPr>
        <w:pStyle w:val="Heading2"/>
      </w:pPr>
      <w:r>
        <w:rPr>
          <w:b w:val="0"/>
          <w:i w:val="0"/>
        </w:rPr>
        <w:t>3.1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配对转录组案例：完整计数、方向与阈值一起保留</w:t>
      </w:r>
    </w:p>
    <w:p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63,677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个原始特征经固定过滤保留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22,369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个。主阈值下的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999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个显著特征由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519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个上调和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个下调构成；5,204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个校正值缺失，17,165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个校正值非缺失，原始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值均非缺失。仅要求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P_adj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&lt;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0.05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与非零效应时为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4,030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个。本轮九组阈值对应的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项事实全部与直接源表重算一致（表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2），说明摘要随阈值变化而同步，且顶部预览没有替代全表计数（图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2A、2C）。</w:t>
      </w:r>
    </w:p>
    <w:p>
      <w:r>
        <w:rPr>
          <w:b w:val="0"/>
          <w:i w:val="0"/>
        </w:rPr>
        <w:t>配对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分别解释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47.8429%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23.3834%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方差，图中保留四个供体内的处理前后连接（图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2B）。同一过滤和设计下，limma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edgeR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分别得到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1,301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1,292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个显著特征（图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2D）；差异来自上游方法，平台保留其来源及数值，不强制统一结果。Reactome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检验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1,104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个通路，只有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Interleukin-4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Interleukin-13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signaling（R-HSA-6785807）通过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BH：重叠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基因、P=1.9558×10⁻⁵、P_adj=0.02159。该案例展示了把处理方向、独立供体、上游统计来源与候选解释同时带入报告的能力，而非新增通路激活结论。</w:t>
      </w:r>
    </w:p>
    <w:p>
      <w:pPr>
        <w:pStyle w:val="Heading2"/>
      </w:pPr>
      <w:r>
        <w:rPr>
          <w:b w:val="0"/>
          <w:i w:val="0"/>
        </w:rPr>
        <w:t>3.2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单细胞和微阵列案例：观测数量不替代研究单位</w:t>
      </w:r>
    </w:p>
    <w:p>
      <w:r>
        <w:rPr>
          <w:b w:val="0"/>
          <w:i w:val="0"/>
        </w:rPr>
        <w:t>PBMC3k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SeuratObject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均提取到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2,700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个细胞与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32,738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个特征，供体数保持为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1。本轮单供体场景再次通过，工作流没有将细胞数提升为独立样本数。UMAP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和线粒体比例展示了已有嵌入及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的接入（图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3A、3B），摘要另行保留“2,700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细胞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/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供体”的层级信息（图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3C）。这一分离有助于约束解释终点：图形邻近不能自动变成细胞类型、因果或供体间差异推断。</w:t>
      </w:r>
    </w:p>
    <w:p>
      <w:r>
        <w:rPr>
          <w:b w:val="0"/>
          <w:i w:val="0"/>
        </w:rPr>
        <w:t>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ExpressionSet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提取到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12,625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个特征、128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个样本及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字段的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个观察分组；bladderbatch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提取到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22,283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个特征、57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个样本、3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个癌症分组和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个批次（图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3D、表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1）。对这两类对象，平台的作用是展示设计字段并记录解释边界，不能把摘要通过当作已完成批次校正或疾病效应复现。</w:t>
      </w:r>
    </w:p>
    <w:p>
      <w:pPr>
        <w:pStyle w:val="Heading2"/>
      </w:pPr>
      <w:r>
        <w:rPr>
          <w:b w:val="0"/>
          <w:i w:val="0"/>
        </w:rPr>
        <w:t>3.3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pasilla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案例：独立来源的数值一致性</w:t>
      </w:r>
    </w:p>
    <w:p>
      <w:r>
        <w:rPr>
          <w:b w:val="0"/>
          <w:i w:val="0"/>
        </w:rPr>
        <w:t>pasilla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保存分析包含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14,599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个特征和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个文库。六个阈值组合的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项特征、显著、上下调和缺失校正值核对全部一致（图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4、表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3）。P_adj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&lt;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0.05、|log2FC|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时为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218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个显著特征，上调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108、下调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110，校正值缺失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5,800。以另一来源复用同一提取规则，支持事实接口在所测对象上的一致性；本轮未重拟合上游模型，亦未对独立解释质量或生物学泛化给出评价。</w:t>
      </w:r>
    </w:p>
    <w:p>
      <w:pPr>
        <w:pStyle w:val="Heading2"/>
      </w:pPr>
      <w:r>
        <w:rPr>
          <w:b w:val="0"/>
          <w:i w:val="0"/>
        </w:rPr>
        <w:t>3.4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案例：覆盖、同向与显著性分开呈现</w:t>
      </w:r>
    </w:p>
    <w:p>
      <w:r>
        <w:rPr>
          <w:b w:val="0"/>
          <w:i w:val="0"/>
        </w:rPr>
        <w:t>在统一的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病例分母下，RNA、拷贝数、RPPA、突变及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miRNA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分别观测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79、90、46、90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个病例。五模态完整病例只有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个，尽管样本映射本身通过核对（图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5A、表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4）。这一结果说明“映射合法”和“数据齐全”是两个不同终点，平台能显示缺失覆盖而不将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解释为全模态完整。</w:t>
      </w:r>
    </w:p>
    <w:p>
      <w:r>
        <w:rPr>
          <w:b w:val="0"/>
          <w:i w:val="0"/>
        </w:rPr>
        <w:t>RNA/蛋白均测量且分期已知的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病例包括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early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28、late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18，共有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个特征。18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个特征效应同向、15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个反向；RNA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个特征通过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&lt;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0.05，蛋白为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0（图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5B–5D、表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5）。例如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BRCA2、CDK1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GATA3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效应分别约为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+1.233、+1.735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+2.315，而蛋白效应分别约为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−0.054、−0.063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−0.114；它们的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值约为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0.0315、0.0149、0.0149，蛋白均未通过阈值。实例直观显示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变化不能直接替代蛋白变化。</w:t>
      </w:r>
    </w:p>
    <w:p>
      <w:r>
        <w:rPr>
          <w:b w:val="0"/>
          <w:i w:val="0"/>
        </w:rPr>
        <w:t>方向关系检查同时保留特征、比较和范围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findings；当把全部关系预设为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时，反向特征返回不一致，这不是程序失败，而是对预设陈述的反证。实际安装包重跑与开发运行的八个核心表逐字节一致；Python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从保存测量重算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效应、方向、覆盖及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通过。它们支持工程复现和数值一致性，不增加独立队列。该案例的优势是把缺失模态、共有特征、配对病例与关联边界放到同一项目，避免将方向一致包装为显著性或独立生物学确认。</w:t>
      </w:r>
    </w:p>
    <w:p>
      <w:pPr>
        <w:pStyle w:val="Heading2"/>
      </w:pPr>
      <w:r>
        <w:rPr>
          <w:b w:val="0"/>
          <w:i w:val="0"/>
        </w:rPr>
        <w:t>3.5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输入消融：显式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事实改善目标传递覆盖</w:t>
      </w:r>
    </w:p>
    <w:p>
      <w:r>
        <w:rPr>
          <w:b w:val="0"/>
          <w:i w:val="0"/>
        </w:rPr>
        <w:t>历史主实验的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1,080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请求均成功并可解析。有界原始输出匹配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437/1,440（30.35%），覆盖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516/1,440（35.83%），已回答准确率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437/516（84.69%）；两种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事实方法的匹配、覆盖和已回答准确率均为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100%（图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6A、6B、表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6）。有界基线的低总体匹配主要受输入信息不足影响，例如差异表达全表计数只回答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9/360、generic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目标为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0/180；因此不能把这项对照解释为模型独立计算能力的公平排名。</w:t>
      </w:r>
    </w:p>
    <w:p>
      <w:r>
        <w:rPr>
          <w:b w:val="0"/>
          <w:i w:val="0"/>
        </w:rPr>
        <w:t>六类功能家族的差异见图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7。direct_bounded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三轮分别匹配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149、143、145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个目标/480；R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事实方法每轮均为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480/480。三方法中位响应时间为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2.230、2.680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2.905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秒，重复共享同一案例，未作独立样本统计推断。事实加证据没有在该数值终点超过事实方法；其引用来源作用与数值传递需分开评价。</w:t>
      </w:r>
    </w:p>
    <w:p>
      <w:r>
        <w:rPr>
          <w:b w:val="0"/>
          <w:i w:val="0"/>
        </w:rPr>
        <w:t>双模型共同任务中，StepFun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DeepSeek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实际请求，均回答并匹配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480/480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个目标（图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6D、表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7）。同一记录中的未配置代码代理与缺失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replay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条件不计入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分母。100%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表示模型接收了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已计算的目标事实后，在当前协议下成功传递，并不意味着自由文本、机制解释或新的知识发现准确率为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100%。</w:t>
      </w:r>
    </w:p>
    <w:p>
      <w:pPr>
        <w:pStyle w:val="Heading2"/>
      </w:pPr>
      <w:r>
        <w:rPr>
          <w:b w:val="0"/>
          <w:i w:val="0"/>
        </w:rPr>
        <w:t>3.6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机制和新增场景：明确错误被拒绝，缺信息保持未验证</w:t>
      </w:r>
    </w:p>
    <w:p>
      <w:r>
        <w:rPr>
          <w:b w:val="0"/>
          <w:i w:val="0"/>
        </w:rPr>
        <w:t>历史验证器将错误数字、未知路径、向量值和未知引用全部判为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fail（72/72），仅路径无值为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partial（18/18）；去除验证器时这些记录均为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unchecked（图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7A）。图形挑战中，三张正确图为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pass、六种注入错误为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fail（图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7B）。两段修复都可运行，只有保持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untrt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参照的方案满足不变量，反转参照的方案为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invariants_failed（图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7D）。</w:t>
      </w:r>
    </w:p>
    <w:p>
      <w:r>
        <w:rPr>
          <w:b w:val="0"/>
          <w:i w:val="0"/>
        </w:rPr>
        <w:t>本轮新增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场景全部返回预期状态：8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项预期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pass、5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fail、1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partial、1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unverified（图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7C、表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8）。正确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与源坐标一致；单点坐标漂移及错误方差标签被拒绝；观察但未映射的样本为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partial；缺失比较范围的方向关系保留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unverified；反转比较分子/分母与错误关系为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fail。手算三病例映射即使合法，也仍显示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个全模态完整和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个未测量病例。完整事实超出极小预算时明确失败，没有静默省略事实。</w:t>
      </w:r>
    </w:p>
    <w:p>
      <w:r>
        <w:rPr>
          <w:b w:val="0"/>
          <w:i w:val="0"/>
        </w:rPr>
        <w:t>这些例子支持“检查范围显式化”和“可定位违例”的设计。另一方面，历史一条数值与引用均通过的响应仍在自由文本中暗示执行了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shrinkage，而原流程未执行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lfcShrink。该语义负例说明显式声明通过不能自动覆盖未声明措辞，平台仍需呈现未验证内容。</w:t>
      </w:r>
    </w:p>
    <w:p>
      <w:pPr>
        <w:pStyle w:val="Heading2"/>
      </w:pPr>
      <w:r>
        <w:rPr>
          <w:b w:val="0"/>
          <w:i w:val="0"/>
        </w:rPr>
        <w:t>3.7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工作台与工程：项目解释和论文图导出连续衔接</w:t>
      </w:r>
    </w:p>
    <w:p>
      <w:r>
        <w:rPr>
          <w:b w:val="0"/>
          <w:i w:val="0"/>
        </w:rPr>
        <w:t>本轮源码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testthat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677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676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通过、1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跳过，失败/错误/警告为零；唯一跳过是已有真实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类时不重定义模拟类。实际源码包构建成功，R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CMD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check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Status: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OK（表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9）。此前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10-08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的源码及安装包历史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名称/位置参数各为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74/74、实际安装导出函数为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90；这些接口级检查不代表全部行为等价。</w:t>
      </w:r>
    </w:p>
    <w:p>
      <w:r>
        <w:rPr>
          <w:b w:val="0"/>
          <w:i w:val="0"/>
        </w:rPr>
        <w:t>写作案例发现工作台缺少项目专用分派：bio_project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会进入单对象解释路径。修复后，真实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项目直接展示摘要、依赖、主病例分母、模态覆盖、两两交集及方向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findings，并生成同一项目的中文报告（图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8A、8B）。绘图页新增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Cairo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下载，失败时清空旧图；实际浏览器生成并回读一页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PDF（图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8C）。英文/中文、HTML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转义、payload/manifest、MAE、项目、下载和两会话隔离共七组验收通过，1440/390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视口无页面横向溢出（图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8D、表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9）。项目宽表在自身容器内滚动，原始病例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不进入展示与报告。</w:t>
      </w:r>
    </w:p>
    <w:p>
      <w:r>
        <w:rPr>
          <w:b w:val="0"/>
          <w:i w:val="0"/>
        </w:rPr>
        <w:t>模型协议和独立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bwrap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边界仍引用此前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10-08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的实际日志：两协议请求体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bytes/hash、极小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值、PCA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精度、null、usage、重试与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401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行为均已验证；只读、越界写入、未挂载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gold/home、无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网络、scratch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输出和资源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timeout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按预期。工程保障增强复现透明性，但不能替代独立科学、专家或用户收益评价。</w:t>
      </w:r>
    </w:p>
    <w:p>
      <w:pPr>
        <w:pStyle w:val="Heading1"/>
      </w:pP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讨论</w:t>
      </w:r>
    </w:p>
    <w:p>
      <w:pPr>
        <w:pStyle w:val="Heading2"/>
      </w:pPr>
      <w:r>
        <w:rPr>
          <w:b w:val="0"/>
          <w:i w:val="0"/>
        </w:rPr>
        <w:t>4.1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平台优势来自计算、解释和检查的明确分工</w:t>
      </w:r>
    </w:p>
    <w:p>
      <w:r>
        <w:rPr>
          <w:b w:val="0"/>
          <w:i w:val="0"/>
        </w:rPr>
        <w:t>本文案例展示三项互补优势。首先，R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从完整输入计算事实，使模型无需从顶部行猜测全表数量；airway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的阈值敏感性与历史消融体现了这一点。其次，来源、比较方向、独立单位和覆盖共同分母随解释保留，PBMC3k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展示了“观测很多”与“独立证据充足”之间的区别。第三，检查返回具体范围与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findings：图形、声明、样本映射和修复条件可以分别通过或失败，报告不需要用单一总体可信度掩盖局部问题。</w:t>
      </w:r>
    </w:p>
    <w:p>
      <w:r>
        <w:rPr>
          <w:b w:val="0"/>
          <w:i w:val="0"/>
        </w:rPr>
        <w:t>这些优势是工作流设计的贡献，并非新的统计模型。平台在已有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DESeq2、limma、edgeR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和对象基础设施上增加可追踪解释层；它既可以离线模板工作，也能把同一事实交给用户配置的语言模型。模型的作用是组织措辞，关键计数和范围不依赖在线服务成功。</w:t>
      </w:r>
    </w:p>
    <w:p>
      <w:pPr>
        <w:pStyle w:val="Heading2"/>
      </w:pPr>
      <w:r>
        <w:rPr>
          <w:b w:val="0"/>
          <w:i w:val="0"/>
        </w:rPr>
        <w:t>4.2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数值传递、证据追踪与科学解释应分别评价</w:t>
      </w:r>
    </w:p>
    <w:p>
      <w:r>
        <w:rPr>
          <w:b w:val="0"/>
          <w:i w:val="0"/>
        </w:rPr>
        <w:t>显式事实的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100%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匹配是目标已在输入中的管道传递结果。direct_bounded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的不足部分源于缺少完整信息，因此不支持对通用代码代理或模型推理能力作优劣结论。双模型结果也只覆盖固定结构化目标与当时服务别名，不能推断长期稳定性。</w:t>
      </w:r>
    </w:p>
    <w:p>
      <w:r>
        <w:rPr>
          <w:b w:val="0"/>
          <w:i w:val="0"/>
        </w:rPr>
        <w:t>同样，引用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位于给定集合只能建立来源闭集，不能确定文章支持某一结论；miniACC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的同向效应只能形成关联假设，不能消除组间混杂或成为独立确认。平台应提供可审查材料，再由研究者评价实验设计、文献内容和解释合理性。自由文本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shrinkage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负例进一步表明，数值正确可与错误措辞共存。</w:t>
      </w:r>
    </w:p>
    <w:p>
      <w:pPr>
        <w:pStyle w:val="Heading2"/>
      </w:pPr>
      <w:r>
        <w:rPr>
          <w:b w:val="0"/>
          <w:i w:val="0"/>
        </w:rPr>
        <w:t>4.3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局限性</w:t>
      </w:r>
    </w:p>
    <w:p>
      <w:r>
        <w:rPr>
          <w:b w:val="0"/>
          <w:i w:val="0"/>
        </w:rPr>
        <w:t>六个公开来源承担不同任务，不能合并为六个独立模型泛化测试。模型消融使用程序生成案例且共享目标；新场景用于开发，受控违例不估计自然错误检出率。pasilla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提供另一来源的数值基准，miniACC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提供缩减多组学应用，但没有冻结独立科学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test/gold。Python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复核不包含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Wilcoxon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原始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独立重算，实际安装包复现也不是新队列。图形检查仍限于支持映射与图层，空间、跨物种和复杂联合关系不在本文的完整验收范围。</w:t>
      </w:r>
    </w:p>
    <w:p>
      <w:r>
        <w:rPr>
          <w:b w:val="0"/>
          <w:i w:val="0"/>
        </w:rPr>
        <w:t>工程层面尚无全自动全覆盖分块、全部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行为独立确认、全新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OS/transitive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lock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与远程平台矩阵验收。Shiny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为本地共享权限工具，不是多租户沙箱。当前结果没有建立初级研究者任务完成、认知负荷、信任校准或学习增益；专家评价和用户体验保持后置，后续研究入口列于附录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C。</w:t>
      </w:r>
    </w:p>
    <w:p>
      <w:pPr>
        <w:pStyle w:val="Heading1"/>
      </w:pP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结论</w:t>
      </w:r>
    </w:p>
    <w:p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将已有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生物信息学结果转化为保留确定性事实、来源、科学范围和分项检查状态的解释与项目报告。转录组、单细胞和多组学案例支持其完整计数、范围显式化与受控错误定位能力。本稿提供可复现开发证据及中文方法描述；科学解释质量、独立泛化与真实用户收益将在后续评价中补充。</w:t>
      </w:r>
    </w:p>
    <w:p>
      <w:pPr>
        <w:pStyle w:val="Heading1"/>
      </w:pPr>
      <w:r>
        <w:rPr>
          <w:b w:val="0"/>
          <w:i w:val="0"/>
        </w:rPr>
        <w:t>数据、代码与稿件信息</w:t>
      </w:r>
    </w:p>
    <w:p>
      <w:r>
        <w:rPr>
          <w:b/>
          <w:i w:val="0"/>
        </w:rPr>
        <w:t>软件与许可证。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当前开发版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0.4.0.9000，MIT，R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4.1.0。源码、帮助、案例与复现脚本保存于项目。公开代码地址：［待填写］；版本归档/DOI：［待填写］。</w:t>
      </w:r>
    </w:p>
    <w:p>
      <w:r>
        <w:rPr>
          <w:b/>
          <w:i w:val="0"/>
        </w:rPr>
        <w:t>数据及图表。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公开数据来源、分析边界见表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1。主图均集中于附录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A；每张合图从四张独立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排版合成，合图与子图分别保存在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figures/composites/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figures/panels/</w:t>
      </w:r>
      <w:r>
        <w:rPr>
          <w:b w:val="0"/>
          <w:i w:val="0"/>
        </w:rPr>
        <w:t>。表格数据不嵌入论文，9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份可编辑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XLSX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CSV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保存在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</w:t>
      </w:r>
      <w:r>
        <w:rPr>
          <w:b w:val="0"/>
          <w:i w:val="0"/>
        </w:rPr>
        <w:t>，表题、表注及来源集中于附录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B。运行记录见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research/results/paper_cn_cases_v1/</w:t>
      </w:r>
      <w:r>
        <w:rPr>
          <w:b w:val="0"/>
          <w:i w:val="0"/>
        </w:rPr>
        <w:t>、</w:t>
      </w:r>
      <w:r>
        <w:rPr>
          <w:rFonts w:ascii="DejaVu Sans Mono" w:hAnsi="DejaVu Sans Mono"/>
          <w:b w:val="0"/>
          <w:i w:val="0"/>
          <w:sz w:val="18"/>
        </w:rPr>
        <w:t>miniacc_installed_review/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w00_baseline/</w:t>
      </w:r>
      <w:r>
        <w:rPr>
          <w:b w:val="0"/>
          <w:i w:val="0"/>
        </w:rPr>
        <w:t>；历史模型记录仍按原目录回读。图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的截图来自真实浏览器测试。</w:t>
      </w:r>
    </w:p>
    <w:p>
      <w:r>
        <w:rPr>
          <w:b/>
          <w:i w:val="0"/>
        </w:rPr>
        <w:t>作者贡献：</w:t>
      </w:r>
      <w:r>
        <w:rPr>
          <w:b w:val="0"/>
          <w:i w:val="0"/>
        </w:rPr>
        <w:t>［待填写］。</w:t>
      </w:r>
    </w:p>
    <w:p>
      <w:r>
        <w:rPr>
          <w:b/>
          <w:i w:val="0"/>
        </w:rPr>
        <w:t>经费：</w:t>
      </w:r>
      <w:r>
        <w:rPr>
          <w:b w:val="0"/>
          <w:i w:val="0"/>
        </w:rPr>
        <w:t>［待填写］。</w:t>
      </w:r>
    </w:p>
    <w:p>
      <w:r>
        <w:rPr>
          <w:b/>
          <w:i w:val="0"/>
        </w:rPr>
        <w:t>利益冲突：</w:t>
      </w:r>
      <w:r>
        <w:rPr>
          <w:b w:val="0"/>
          <w:i w:val="0"/>
        </w:rPr>
        <w:t>［待填写］。</w:t>
      </w:r>
    </w:p>
    <w:p>
      <w:r>
        <w:rPr>
          <w:b/>
          <w:i w:val="0"/>
        </w:rPr>
        <w:t>伦理及人员研究信息：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当前稿件报告公开数据复用与软件验证；专家和用户研究部分待实际开展后补充相关信息。</w:t>
      </w:r>
    </w:p>
    <w:p>
      <w:r>
        <w:rPr>
          <w:b/>
          <w:i w:val="0"/>
        </w:rPr>
        <w:t>AI</w:t>
      </w:r>
      <w:r>
        <w:rPr>
          <w:b/>
          <w:i w:val="0"/>
        </w:rPr>
        <w:t xml:space="preserve"> </w:t>
      </w:r>
      <w:r>
        <w:rPr>
          <w:b/>
          <w:i w:val="0"/>
        </w:rPr>
        <w:t>使用说明：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助手用于软件开发、稿件与图表整理；历史模型实验使用授权接口。统计数字以保存源结果及计算记录为依据，生成文字不作为独立参考真值。作者核对与最终确认位置：［待填写］。</w:t>
      </w:r>
    </w:p>
    <w:p>
      <w:pPr>
        <w:pStyle w:val="Heading1"/>
      </w:pPr>
      <w:r>
        <w:rPr>
          <w:b w:val="0"/>
          <w:i w:val="0"/>
        </w:rPr>
        <w:t>参考文献</w:t>
      </w:r>
    </w:p>
    <w:p>
      <w:r>
        <w:t xml:space="preserve">1. </w:t>
      </w:r>
      <w:r>
        <w:rPr>
          <w:b w:val="0"/>
          <w:i w:val="0"/>
        </w:rPr>
        <w:t>Love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Huber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Anders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Moderated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estimation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change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dispersion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RNA-seq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2014;15:550.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10.1186/s13059-014-0550-8</w:t>
      </w:r>
      <w:r>
        <w:rPr>
          <w:b w:val="0"/>
          <w:i w:val="0"/>
        </w:rPr>
        <w:t>.</w:t>
      </w:r>
    </w:p>
    <w:p>
      <w:r>
        <w:t xml:space="preserve">2. </w:t>
      </w:r>
      <w:r>
        <w:rPr>
          <w:b w:val="0"/>
          <w:i w:val="0"/>
        </w:rPr>
        <w:t>Ritchie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limma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powers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differential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RNA-sequencing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microarray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studies.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Nucleic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Acids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2015;43:e47.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10.1093/nar/gkv007</w:t>
      </w:r>
      <w:r>
        <w:rPr>
          <w:b w:val="0"/>
          <w:i w:val="0"/>
        </w:rPr>
        <w:t>.</w:t>
      </w:r>
    </w:p>
    <w:p>
      <w:r>
        <w:t xml:space="preserve">3. </w:t>
      </w:r>
      <w:r>
        <w:rPr>
          <w:b w:val="0"/>
          <w:i w:val="0"/>
        </w:rPr>
        <w:t>Robinson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McCarthy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DJ,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Smyth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GK.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edgeR: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Bioconductor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package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differential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digital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Bioinformatics.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2010;26:139–140.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10.1093/bioinformatics/btp616</w:t>
      </w:r>
      <w:r>
        <w:rPr>
          <w:b w:val="0"/>
          <w:i w:val="0"/>
        </w:rPr>
        <w:t>.</w:t>
      </w:r>
    </w:p>
    <w:p>
      <w:r>
        <w:t xml:space="preserve">4. </w:t>
      </w:r>
      <w:r>
        <w:rPr>
          <w:b w:val="0"/>
          <w:i w:val="0"/>
        </w:rPr>
        <w:t>Amezquita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Orchestrating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single-cell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Bioconductor.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Methods.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2020;17:137–145.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10.1038/s41592-019-0654-x</w:t>
      </w:r>
      <w:r>
        <w:rPr>
          <w:b w:val="0"/>
          <w:i w:val="0"/>
        </w:rPr>
        <w:t>.</w:t>
      </w:r>
    </w:p>
    <w:p>
      <w:r>
        <w:t xml:space="preserve">5. </w:t>
      </w:r>
      <w:r>
        <w:rPr>
          <w:b w:val="0"/>
          <w:i w:val="0"/>
        </w:rPr>
        <w:t>Hao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Dictionary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learning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integrative,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multimodal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scalable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single-cell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Biotechnol.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2024;42:293–304.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10.1038/s41587-023-01767-y</w:t>
      </w:r>
      <w:r>
        <w:rPr>
          <w:b w:val="0"/>
          <w:i w:val="0"/>
        </w:rPr>
        <w:t>.</w:t>
      </w:r>
    </w:p>
    <w:p>
      <w:r>
        <w:t xml:space="preserve">6. </w:t>
      </w:r>
      <w:r>
        <w:rPr>
          <w:b w:val="0"/>
          <w:i w:val="0"/>
        </w:rPr>
        <w:t>Ramos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Software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integration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multi-omics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experiments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Bioconductor.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Cancer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2017;77:e39–e42.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10.1158/0008-5472.CAN-17-0344</w:t>
      </w:r>
      <w:r>
        <w:rPr>
          <w:b w:val="0"/>
          <w:i w:val="0"/>
        </w:rPr>
        <w:t>.</w:t>
      </w:r>
    </w:p>
    <w:p>
      <w:r>
        <w:t xml:space="preserve">7. </w:t>
      </w:r>
      <w:r>
        <w:rPr>
          <w:b w:val="0"/>
          <w:i w:val="0"/>
        </w:rPr>
        <w:t>Hou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Z.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Assessing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GPT-4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annotation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single-cell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RNA-seq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Methods.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2024;21:1462–1465.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10.1038/s41592-024-02235-4</w:t>
      </w:r>
      <w:r>
        <w:rPr>
          <w:b w:val="0"/>
          <w:i w:val="0"/>
        </w:rPr>
        <w:t>.</w:t>
      </w:r>
    </w:p>
    <w:p>
      <w:r>
        <w:t xml:space="preserve">8. </w:t>
      </w:r>
      <w:r>
        <w:rPr>
          <w:b w:val="0"/>
          <w:i w:val="0"/>
        </w:rPr>
        <w:t>Nagarajan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SCassist: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workflow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assistant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single-cell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Bioinformatics.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2025;41:btaf402.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10.1093/bioinformatics/btaf402</w:t>
      </w:r>
      <w:r>
        <w:rPr>
          <w:b w:val="0"/>
          <w:i w:val="0"/>
        </w:rPr>
        <w:t>.</w:t>
      </w:r>
    </w:p>
    <w:p>
      <w:r>
        <w:t xml:space="preserve">9. </w:t>
      </w:r>
      <w:r>
        <w:rPr>
          <w:b w:val="0"/>
          <w:i w:val="0"/>
        </w:rPr>
        <w:t>Wang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Z,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GeneAgent: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self-verification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language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agent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gene-set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domain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databases.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Methods.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2025;22:1677–1685.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10.1038/s41592-025-02748-6</w:t>
      </w:r>
      <w:r>
        <w:rPr>
          <w:b w:val="0"/>
          <w:i w:val="0"/>
        </w:rPr>
        <w:t>.</w:t>
      </w:r>
    </w:p>
    <w:p>
      <w:r>
        <w:t xml:space="preserve">10. </w:t>
      </w:r>
      <w:r>
        <w:rPr>
          <w:b w:val="0"/>
          <w:i w:val="0"/>
        </w:rPr>
        <w:t>Lobentanzer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platform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biomedical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application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large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language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Biotechnol.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2025;43:166–169.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10.1038/s41587-024-02534-3</w:t>
      </w:r>
      <w:r>
        <w:rPr>
          <w:b w:val="0"/>
          <w:i w:val="0"/>
        </w:rPr>
        <w:t>.</w:t>
      </w:r>
    </w:p>
    <w:p>
      <w:r>
        <w:t xml:space="preserve">11. </w:t>
      </w:r>
      <w:r>
        <w:rPr>
          <w:b w:val="0"/>
          <w:i w:val="0"/>
        </w:rPr>
        <w:t>Huang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Biomni: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general-purpose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biomedical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agent.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bioRxiv.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10.1101/2025.05.30.656746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［预印本］</w:t>
      </w:r>
    </w:p>
    <w:p>
      <w:r>
        <w:t xml:space="preserve">12. </w:t>
      </w:r>
      <w:r>
        <w:rPr>
          <w:b w:val="0"/>
          <w:i w:val="0"/>
        </w:rPr>
        <w:t>Rue-Albrecht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iSEE: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Interactive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SummarizedExperiment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Explorer.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F1000Res.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2018;7:741.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10.12688/f1000research.14966.1</w:t>
      </w:r>
      <w:r>
        <w:rPr>
          <w:b w:val="0"/>
          <w:i w:val="0"/>
        </w:rPr>
        <w:t>.</w:t>
      </w:r>
    </w:p>
    <w:p>
      <w:r>
        <w:t xml:space="preserve">13. </w:t>
      </w:r>
      <w:r>
        <w:rPr>
          <w:b w:val="0"/>
          <w:i w:val="0"/>
        </w:rPr>
        <w:t>Posit/tidyverse.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ellmer: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Large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Language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https://ellmer.tidyverse.org/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［软件文档，访问2026-10-04］</w:t>
      </w:r>
    </w:p>
    <w:p>
      <w:r>
        <w:t xml:space="preserve">14. </w:t>
      </w:r>
      <w:r>
        <w:rPr>
          <w:b w:val="0"/>
          <w:i w:val="0"/>
        </w:rPr>
        <w:t>Benjamini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Hochberg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Controlling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false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discovery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rate: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practical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powerful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approach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multiple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testing.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1995;57:289–300.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10.1111/j.2517-6161.1995.tb02031.x</w:t>
      </w:r>
      <w:r>
        <w:rPr>
          <w:b w:val="0"/>
          <w:i w:val="0"/>
        </w:rPr>
        <w:t>.</w:t>
      </w:r>
    </w:p>
    <w:p>
      <w:r>
        <w:t xml:space="preserve">15. </w:t>
      </w:r>
      <w:r>
        <w:rPr>
          <w:b w:val="0"/>
          <w:i w:val="0"/>
        </w:rPr>
        <w:t>Bourgon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Gentleman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Huber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Independent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filtering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increases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detection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power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high-throughput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experiments.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Acad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2010;107:9546–9551.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10.1073/pnas.0914005107</w:t>
      </w:r>
      <w:r>
        <w:rPr>
          <w:b w:val="0"/>
          <w:i w:val="0"/>
        </w:rPr>
        <w:t>.</w:t>
      </w:r>
    </w:p>
    <w:p>
      <w:r>
        <w:t xml:space="preserve">16. </w:t>
      </w:r>
      <w:r>
        <w:rPr>
          <w:b w:val="0"/>
          <w:i w:val="0"/>
        </w:rPr>
        <w:t>Europe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PMC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Consortium.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Europe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PMC: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full-text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literature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database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life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sciences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platform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innovation.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Nucleic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Acids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2015;43:D1042–D1048.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10.1093/nar/gku1061</w:t>
      </w:r>
      <w:r>
        <w:rPr>
          <w:b w:val="0"/>
          <w:i w:val="0"/>
        </w:rPr>
        <w:t>.</w:t>
      </w:r>
    </w:p>
    <w:p>
      <w:r>
        <w:t xml:space="preserve">17. </w:t>
      </w:r>
      <w:r>
        <w:rPr>
          <w:b w:val="0"/>
          <w:i w:val="0"/>
        </w:rPr>
        <w:t>Binns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QuickGO: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web-based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tool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Ontology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searching.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Bioinformatics.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2009;25:3045–3046.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10.1093/bioinformatics/btp536</w:t>
      </w:r>
      <w:r>
        <w:rPr>
          <w:b w:val="0"/>
          <w:i w:val="0"/>
        </w:rPr>
        <w:t>.</w:t>
      </w:r>
    </w:p>
    <w:p>
      <w:r>
        <w:t xml:space="preserve">18. </w:t>
      </w:r>
      <w:r>
        <w:rPr>
          <w:b w:val="0"/>
          <w:i w:val="0"/>
        </w:rPr>
        <w:t>Gillespie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Reactome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pathway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knowledgebase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Nucleic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Acids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2022;50:D687–D692.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10.1093/nar/gkab1028</w:t>
      </w:r>
      <w:r>
        <w:rPr>
          <w:b w:val="0"/>
          <w:i w:val="0"/>
        </w:rPr>
        <w:t>.</w:t>
      </w:r>
    </w:p>
    <w:p>
      <w:r>
        <w:t xml:space="preserve">19. </w:t>
      </w:r>
      <w:r>
        <w:rPr>
          <w:b w:val="0"/>
          <w:i w:val="0"/>
        </w:rPr>
        <w:t>Kanehisa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Goto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KEGG: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Kyoto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Encyclopedia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Genomes.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Nucleic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Acids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2000;28:27–30.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10.1093/nar/28.1.27</w:t>
      </w:r>
      <w:r>
        <w:rPr>
          <w:b w:val="0"/>
          <w:i w:val="0"/>
        </w:rPr>
        <w:t>.</w:t>
      </w:r>
    </w:p>
    <w:p>
      <w:r>
        <w:t xml:space="preserve">20. </w:t>
      </w:r>
      <w:r>
        <w:rPr>
          <w:b w:val="0"/>
          <w:i w:val="0"/>
        </w:rPr>
        <w:t>UniProt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Consortium.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UniProt: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Universal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Protein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Knowledgebase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Nucleic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Acids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2023;51:D523–D531.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10.1093/nar/gkac1052</w:t>
      </w:r>
      <w:r>
        <w:rPr>
          <w:b w:val="0"/>
          <w:i w:val="0"/>
        </w:rPr>
        <w:t>.</w:t>
      </w:r>
    </w:p>
    <w:p>
      <w:r>
        <w:t xml:space="preserve">21. </w:t>
      </w:r>
      <w:r>
        <w:rPr>
          <w:b w:val="0"/>
          <w:i w:val="0"/>
        </w:rPr>
        <w:t>Wickham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ggplot2: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Elegant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Graphics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Springer;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2016.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10.1007/978-3-319-24277-4</w:t>
      </w:r>
      <w:r>
        <w:rPr>
          <w:b w:val="0"/>
          <w:i w:val="0"/>
        </w:rPr>
        <w:t>.</w:t>
      </w:r>
    </w:p>
    <w:p>
      <w:r>
        <w:t xml:space="preserve">22. </w:t>
      </w:r>
      <w:r>
        <w:rPr>
          <w:b w:val="0"/>
          <w:i w:val="0"/>
        </w:rPr>
        <w:t>Himes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RNA-Seq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transcriptome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profiling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identifies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CRISPLD2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glucocorticoid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responsive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modulates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cytokine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function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smooth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muscle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2014;9:e99625.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10.1371/journal.pone.0099625</w:t>
      </w:r>
      <w:r>
        <w:rPr>
          <w:b w:val="0"/>
          <w:i w:val="0"/>
        </w:rPr>
        <w:t>.</w:t>
      </w:r>
    </w:p>
    <w:p>
      <w:r>
        <w:t xml:space="preserve">23. </w:t>
      </w:r>
      <w:r>
        <w:rPr>
          <w:b w:val="0"/>
          <w:i w:val="0"/>
        </w:rPr>
        <w:t>Law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CW,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voom: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precision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weights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unlock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linear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tools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RNA-seq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counts.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2014;15:R29.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10.1186/gb-2014-15-2-r29</w:t>
      </w:r>
      <w:r>
        <w:rPr>
          <w:b w:val="0"/>
          <w:i w:val="0"/>
        </w:rPr>
        <w:t>.</w:t>
      </w:r>
    </w:p>
    <w:p>
      <w:r>
        <w:t xml:space="preserve">24. </w:t>
      </w:r>
      <w:r>
        <w:rPr>
          <w:b w:val="0"/>
          <w:i w:val="0"/>
        </w:rPr>
        <w:t>10x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Genomics.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PBMCs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from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Healthy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Donor,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Chromium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Single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v1.1.0.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公开矩阵归档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［公开数据集］</w:t>
      </w:r>
    </w:p>
    <w:p>
      <w:r>
        <w:t xml:space="preserve">25. </w:t>
      </w:r>
      <w:r>
        <w:rPr>
          <w:b w:val="0"/>
          <w:i w:val="0"/>
        </w:rPr>
        <w:t>McInnes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Healy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Melville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UMAP: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Uniform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Manifold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Approximation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Projection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Dimension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Reduction.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arXiv.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2018;1802.03426.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https://arxiv.org/abs/1802.03426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［预印本］</w:t>
      </w:r>
    </w:p>
    <w:p>
      <w:r>
        <w:t xml:space="preserve">26. </w:t>
      </w:r>
      <w:r>
        <w:rPr>
          <w:b w:val="0"/>
          <w:i w:val="0"/>
        </w:rPr>
        <w:t>Squair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JW,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Confronting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false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discoveries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single-cell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differential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Commun.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2021;12:5692.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10.1038/s41467-021-25960-2</w:t>
      </w:r>
      <w:r>
        <w:rPr>
          <w:b w:val="0"/>
          <w:i w:val="0"/>
        </w:rPr>
        <w:t>.</w:t>
      </w:r>
    </w:p>
    <w:p>
      <w:r>
        <w:t xml:space="preserve">27. </w:t>
      </w:r>
      <w:r>
        <w:rPr>
          <w:b w:val="0"/>
          <w:i w:val="0"/>
        </w:rPr>
        <w:t>Bioconductor.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1.44.0.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https://bioconductor.org/packages/3.18/data/experiment/html/ALL.html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［数据包］</w:t>
      </w:r>
    </w:p>
    <w:p>
      <w:r>
        <w:t xml:space="preserve">28. </w:t>
      </w:r>
      <w:r>
        <w:rPr>
          <w:b w:val="0"/>
          <w:i w:val="0"/>
        </w:rPr>
        <w:t>Bioconductor.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bladderbatch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1.40.0.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https://bioconductor.org/packages/3.18/data/experiment/html/bladderbatch.html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［数据包］</w:t>
      </w:r>
    </w:p>
    <w:p>
      <w:r>
        <w:t xml:space="preserve">29. </w:t>
      </w:r>
      <w:r>
        <w:rPr>
          <w:b w:val="0"/>
          <w:i w:val="0"/>
        </w:rPr>
        <w:t>Zheng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Comprehensive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Pan-Genomic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Characterization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Adrenocortical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Carcinoma.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Cancer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2016;29:723–736.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10.1016/j.ccell.2016.04.002</w:t>
      </w:r>
      <w:r>
        <w:rPr>
          <w:b w:val="0"/>
          <w:i w:val="0"/>
        </w:rPr>
        <w:t>.</w:t>
      </w:r>
    </w:p>
    <w:p>
      <w:pPr>
        <w:pStyle w:val="Heading1"/>
        <w:pageBreakBefore/>
      </w:pPr>
      <w:r>
        <w:rPr>
          <w:b w:val="0"/>
          <w:i w:val="0"/>
        </w:rPr>
        <w:t>附录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A：框架图与各结果合图</w:t>
      </w:r>
    </w:p>
    <w:p>
      <w:r>
        <w:rPr>
          <w:b w:val="0"/>
          <w:i w:val="0"/>
        </w:rPr>
        <w:t>合图按正文引用编号排列。每图由四张独立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使用保持矢量内容的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排版方式组成；论文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的本附录直接嵌入合图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PDF，Word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和网页使用其高分辨率预览。框架图包含原创数据库、图形、网络、校验和报告图标；真实页面截图为位图素材，其余框架/统计元素保留矢量。各合图与子图原件见专用目录。</w:t>
      </w:r>
    </w:p>
    <w:p>
      <w:pPr>
        <w:pStyle w:val="Heading2"/>
        <w:pageBreakBefore/>
      </w:pPr>
      <w:r>
        <w:rPr>
          <w:b w:val="0"/>
          <w:i w:val="0"/>
        </w:rPr>
        <w:t>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平台框架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2294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9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b/>
          <w:i w:val="0"/>
          <w:sz w:val="19"/>
        </w:rPr>
        <w:t>图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1.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从已有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R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对象到可追踪解释的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BioExplainR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框架。</w:t>
      </w:r>
      <w:r>
        <w:rPr>
          <w:b w:val="0"/>
          <w:i w:val="0"/>
          <w:sz w:val="19"/>
        </w:rPr>
        <w:t>（A）以数据库、统计图、网络、校验和文档图标展示对象→确定性事实→可选语言→分项检查→输出流程；（B）本地计算与模型载荷边界，完整标量事实超预算时明确失败；（C）pass、fail、partial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与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unverified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的独立状态；（D）源队列及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RNA/蛋白派生结果的依赖关系。同一来源的结果不能当作独立确认。合图原件：</w:t>
      </w:r>
      <w:r>
        <w:rPr>
          <w:rFonts w:ascii="DejaVu Sans Mono" w:hAnsi="DejaVu Sans Mono"/>
          <w:b w:val="0"/>
          <w:i w:val="0"/>
          <w:sz w:val="19"/>
        </w:rPr>
        <w:t>figures/composites/Figure_1.pdf</w:t>
      </w:r>
      <w:r>
        <w:rPr>
          <w:b w:val="0"/>
          <w:i w:val="0"/>
          <w:sz w:val="19"/>
        </w:rPr>
        <w:t>；子图：</w:t>
      </w:r>
      <w:r>
        <w:rPr>
          <w:rFonts w:ascii="DejaVu Sans Mono" w:hAnsi="DejaVu Sans Mono"/>
          <w:b w:val="0"/>
          <w:i w:val="0"/>
          <w:sz w:val="19"/>
        </w:rPr>
        <w:t>figures/panels/Figure_1A.pdf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至</w:t>
      </w:r>
      <w:r>
        <w:rPr>
          <w:b w:val="0"/>
          <w:i w:val="0"/>
          <w:sz w:val="19"/>
        </w:rPr>
        <w:t xml:space="preserve"> </w:t>
      </w:r>
      <w:r>
        <w:rPr>
          <w:rFonts w:ascii="DejaVu Sans Mono" w:hAnsi="DejaVu Sans Mono"/>
          <w:b w:val="0"/>
          <w:i w:val="0"/>
          <w:sz w:val="19"/>
        </w:rPr>
        <w:t>Figure_1D.pdf</w:t>
      </w:r>
      <w:r>
        <w:rPr>
          <w:b w:val="0"/>
          <w:i w:val="0"/>
          <w:sz w:val="19"/>
        </w:rPr>
        <w:t>。</w:t>
      </w:r>
    </w:p>
    <w:p>
      <w:pPr>
        <w:pStyle w:val="Heading2"/>
        <w:pageBreakBefore/>
      </w:pPr>
      <w:r>
        <w:rPr>
          <w:b w:val="0"/>
          <w:i w:val="0"/>
        </w:rPr>
        <w:t>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配对转录组案例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2294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9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b/>
          <w:i w:val="0"/>
          <w:sz w:val="19"/>
        </w:rPr>
        <w:t>图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2.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airway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的全表统计、配对结构与阈值敏感性。</w:t>
      </w:r>
      <w:r>
        <w:rPr>
          <w:b w:val="0"/>
          <w:i w:val="0"/>
          <w:sz w:val="19"/>
        </w:rPr>
        <w:t>（A）trt/untrt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火山图，主阈值为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P_adj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&lt;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0.05、|log2FC|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&gt;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1，999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个显著特征中上调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519、下调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480；（B）VST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后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500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个高方差特征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PCA，PC1/PC2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为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47.8429%/23.3834%，连接线对应四个供体内的配对文库；（C）九组阈值的显著数轨迹，五事实×九条件均与直接源表相符；（D）DESeq2、limma、edgeR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方法各自的显著数。图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B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的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8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文库不是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8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独立供体；图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D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不构成方法优劣排名。原件：</w:t>
      </w:r>
      <w:r>
        <w:rPr>
          <w:rFonts w:ascii="DejaVu Sans Mono" w:hAnsi="DejaVu Sans Mono"/>
          <w:b w:val="0"/>
          <w:i w:val="0"/>
          <w:sz w:val="19"/>
        </w:rPr>
        <w:t>figures/composites/Figure_2.pdf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与</w:t>
      </w:r>
      <w:r>
        <w:rPr>
          <w:b w:val="0"/>
          <w:i w:val="0"/>
          <w:sz w:val="19"/>
        </w:rPr>
        <w:t xml:space="preserve"> </w:t>
      </w:r>
      <w:r>
        <w:rPr>
          <w:rFonts w:ascii="DejaVu Sans Mono" w:hAnsi="DejaVu Sans Mono"/>
          <w:b w:val="0"/>
          <w:i w:val="0"/>
          <w:sz w:val="19"/>
        </w:rPr>
        <w:t>figures/panels/Figure_2[A-D].pdf</w:t>
      </w:r>
      <w:r>
        <w:rPr>
          <w:b w:val="0"/>
          <w:i w:val="0"/>
          <w:sz w:val="19"/>
        </w:rPr>
        <w:t>。数值来源见表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2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及数据清单。</w:t>
      </w:r>
    </w:p>
    <w:p>
      <w:pPr>
        <w:pStyle w:val="Heading2"/>
        <w:pageBreakBefore/>
      </w:pPr>
      <w:r>
        <w:rPr>
          <w:b w:val="0"/>
          <w:i w:val="0"/>
        </w:rPr>
        <w:t>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单细胞与微阵列案例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2294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9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b/>
          <w:i w:val="0"/>
          <w:sz w:val="19"/>
        </w:rPr>
        <w:t>图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3.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细胞、供体和设计字段的分层摘要。</w:t>
      </w:r>
      <w:r>
        <w:rPr>
          <w:b w:val="0"/>
          <w:i w:val="0"/>
          <w:sz w:val="19"/>
        </w:rPr>
        <w:t>（A）PBMC3k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已有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UMAP，以线粒体比例≤5%/&gt;5%着色；（B）线粒体比例分布及展示阈值，未据此排除细胞；（C）2,700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细胞、32,738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特征与单供体的不同层级；（D）ALL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与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bladderbatch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样本量及表型/批次字段摘要。QC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颜色不是细胞类型，UMAP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不用于推断供体间差异；微阵列摘要不是批次校正结果。原件：</w:t>
      </w:r>
      <w:r>
        <w:rPr>
          <w:rFonts w:ascii="DejaVu Sans Mono" w:hAnsi="DejaVu Sans Mono"/>
          <w:b w:val="0"/>
          <w:i w:val="0"/>
          <w:sz w:val="19"/>
        </w:rPr>
        <w:t>figures/composites/Figure_3.pdf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与</w:t>
      </w:r>
      <w:r>
        <w:rPr>
          <w:b w:val="0"/>
          <w:i w:val="0"/>
          <w:sz w:val="19"/>
        </w:rPr>
        <w:t xml:space="preserve"> </w:t>
      </w:r>
      <w:r>
        <w:rPr>
          <w:rFonts w:ascii="DejaVu Sans Mono" w:hAnsi="DejaVu Sans Mono"/>
          <w:b w:val="0"/>
          <w:i w:val="0"/>
          <w:sz w:val="19"/>
        </w:rPr>
        <w:t>figures/panels/Figure_3[A-D].pdf</w:t>
      </w:r>
      <w:r>
        <w:rPr>
          <w:b w:val="0"/>
          <w:i w:val="0"/>
          <w:sz w:val="19"/>
        </w:rPr>
        <w:t>。来源见表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1。</w:t>
      </w:r>
    </w:p>
    <w:p>
      <w:pPr>
        <w:pStyle w:val="Heading2"/>
        <w:pageBreakBefore/>
      </w:pPr>
      <w:r>
        <w:rPr>
          <w:b w:val="0"/>
          <w:i w:val="0"/>
        </w:rPr>
        <w:t>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pasilla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数值基准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2294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9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b/>
          <w:i w:val="0"/>
          <w:sz w:val="19"/>
        </w:rPr>
        <w:t>图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4.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pasilla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独立来源的保存数值核对。</w:t>
      </w:r>
      <w:r>
        <w:rPr>
          <w:b w:val="0"/>
          <w:i w:val="0"/>
          <w:sz w:val="19"/>
        </w:rPr>
        <w:t>（A）保存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VST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PCA；（B）treated/untreated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火山图；（C）主阈值下上调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108、下调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110，共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218；（D）六组阈值的显著数，30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项源表事实均一致。分析设计为</w:t>
      </w:r>
      <w:r>
        <w:rPr>
          <w:b w:val="0"/>
          <w:i w:val="0"/>
          <w:sz w:val="19"/>
        </w:rPr>
        <w:t xml:space="preserve"> </w:t>
      </w:r>
      <w:r>
        <w:rPr>
          <w:rFonts w:ascii="DejaVu Sans Mono" w:hAnsi="DejaVu Sans Mono"/>
          <w:b w:val="0"/>
          <w:i w:val="0"/>
          <w:sz w:val="19"/>
        </w:rPr>
        <w:t>~ type + condition</w:t>
      </w:r>
      <w:r>
        <w:rPr>
          <w:b w:val="0"/>
          <w:i w:val="0"/>
          <w:sz w:val="19"/>
        </w:rPr>
        <w:t>，校正值缺失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5,800；本轮回读保存结果，没有重拟合上游模型。原件：</w:t>
      </w:r>
      <w:r>
        <w:rPr>
          <w:rFonts w:ascii="DejaVu Sans Mono" w:hAnsi="DejaVu Sans Mono"/>
          <w:b w:val="0"/>
          <w:i w:val="0"/>
          <w:sz w:val="19"/>
        </w:rPr>
        <w:t>figures/composites/Figure_4.pdf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与</w:t>
      </w:r>
      <w:r>
        <w:rPr>
          <w:b w:val="0"/>
          <w:i w:val="0"/>
          <w:sz w:val="19"/>
        </w:rPr>
        <w:t xml:space="preserve"> </w:t>
      </w:r>
      <w:r>
        <w:rPr>
          <w:rFonts w:ascii="DejaVu Sans Mono" w:hAnsi="DejaVu Sans Mono"/>
          <w:b w:val="0"/>
          <w:i w:val="0"/>
          <w:sz w:val="19"/>
        </w:rPr>
        <w:t>figures/panels/Figure_4[A-D].pdf</w:t>
      </w:r>
      <w:r>
        <w:rPr>
          <w:b w:val="0"/>
          <w:i w:val="0"/>
          <w:sz w:val="19"/>
        </w:rPr>
        <w:t>。逐项数据见表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3。</w:t>
      </w:r>
    </w:p>
    <w:p>
      <w:pPr>
        <w:pStyle w:val="Heading2"/>
        <w:pageBreakBefore/>
      </w:pPr>
      <w:r>
        <w:rPr>
          <w:b w:val="0"/>
          <w:i w:val="0"/>
        </w:rPr>
        <w:t>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多组学案例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2294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9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图</w:t>
      </w:r>
      <w:r>
        <w:rPr>
          <w:b/>
          <w:i w:val="0"/>
        </w:rPr>
        <w:t xml:space="preserve"> </w:t>
      </w:r>
      <w:r>
        <w:rPr>
          <w:b/>
          <w:i w:val="0"/>
        </w:rPr>
        <w:t>5.</w:t>
      </w:r>
      <w:r>
        <w:rPr>
          <w:b/>
          <w:i w:val="0"/>
        </w:rPr>
        <w:t xml:space="preserve"> </w:t>
      </w:r>
      <w:r>
        <w:rPr>
          <w:b/>
          <w:i w:val="0"/>
        </w:rPr>
        <w:t>多组学覆盖、方向与显著性的分离展示。</w:t>
      </w:r>
      <w:r>
        <w:rPr>
          <w:b w:val="0"/>
          <w:i w:val="0"/>
        </w:rPr>
        <w:t>（A）92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病例分母下各模态覆盖，灰段为未测量，五模态完整病例为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43；（B）33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共有特征的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与蛋白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late−early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效应，18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同向、15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反向；（C）两模态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校正值，特征按字母顺序，RNA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3/33、蛋白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0/33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通过0.05；（D）46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配对测量病例的分期组，early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28、late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18。RNA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RPPA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单位不同，图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只核对符号、不比较效应幅度。分期组不配对、不随机化；同病例跨模态测量和符号一致不建立独立证据或因果。原件：</w:t>
      </w:r>
      <w:r>
        <w:rPr>
          <w:rFonts w:ascii="DejaVu Sans Mono" w:hAnsi="DejaVu Sans Mono"/>
          <w:b w:val="0"/>
          <w:i w:val="0"/>
          <w:sz w:val="18"/>
        </w:rPr>
        <w:t>figures/composites/Figure_5.pdf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figures/panels/Figure_5[A-D].pdf</w:t>
      </w:r>
      <w:r>
        <w:rPr>
          <w:b w:val="0"/>
          <w:i w:val="0"/>
        </w:rPr>
        <w:t>。数值见表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4–5。</w:t>
      </w:r>
    </w:p>
    <w:p>
      <w:pPr>
        <w:pStyle w:val="Heading2"/>
        <w:pageBreakBefore/>
      </w:pPr>
      <w:r>
        <w:rPr>
          <w:b w:val="0"/>
          <w:i w:val="0"/>
        </w:rPr>
        <w:t>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模型事实传递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2294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9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图</w:t>
      </w:r>
      <w:r>
        <w:rPr>
          <w:b/>
          <w:i w:val="0"/>
        </w:rPr>
        <w:t xml:space="preserve"> </w:t>
      </w:r>
      <w:r>
        <w:rPr>
          <w:b/>
          <w:i w:val="0"/>
        </w:rPr>
        <w:t>6.</w:t>
      </w:r>
      <w:r>
        <w:rPr>
          <w:b/>
          <w:i w:val="0"/>
        </w:rPr>
        <w:t xml:space="preserve"> </w:t>
      </w:r>
      <w:r>
        <w:rPr>
          <w:b/>
          <w:i w:val="0"/>
        </w:rPr>
        <w:t>固定目标事实的输入消融与双模型协议结果。</w:t>
      </w:r>
      <w:r>
        <w:rPr>
          <w:b w:val="0"/>
          <w:i w:val="0"/>
        </w:rPr>
        <w:t>（A）三输入总体匹配率；（B）覆盖与已回答准确率；（C）六功能家族匹配率；（D）相同输入下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StepFun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DeepSeek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各匹配480/480。A–C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120程序案例、480唯一事实、三方法×三重复，共1,080请求与4,320评分；D各模型120请求，不与主消融分母相加。100%是R目标已显式提供后的结构化传递终点，有界raw缺少完整信息；不是自由文本正确率、独立推理或生物学泛化。全部为0.3.1保存记录，本轮没有在线调用。原件：</w:t>
      </w:r>
      <w:r>
        <w:rPr>
          <w:rFonts w:ascii="DejaVu Sans Mono" w:hAnsi="DejaVu Sans Mono"/>
          <w:b w:val="0"/>
          <w:i w:val="0"/>
          <w:sz w:val="18"/>
        </w:rPr>
        <w:t>figures/composites/Figure_6.pdf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figures/panels/Figure_6[A-D].pdf</w:t>
      </w:r>
      <w:r>
        <w:rPr>
          <w:b w:val="0"/>
          <w:i w:val="0"/>
        </w:rPr>
        <w:t>。数据见表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6–7。</w:t>
      </w:r>
    </w:p>
    <w:p>
      <w:pPr>
        <w:pStyle w:val="Heading2"/>
        <w:pageBreakBefore/>
      </w:pPr>
      <w:r>
        <w:rPr>
          <w:b w:val="0"/>
          <w:i w:val="0"/>
        </w:rPr>
        <w:t>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受控错误与新增场景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2294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9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图</w:t>
      </w:r>
      <w:r>
        <w:rPr>
          <w:b/>
          <w:i w:val="0"/>
        </w:rPr>
        <w:t xml:space="preserve"> </w:t>
      </w:r>
      <w:r>
        <w:rPr>
          <w:b/>
          <w:i w:val="0"/>
        </w:rPr>
        <w:t>7.</w:t>
      </w:r>
      <w:r>
        <w:rPr>
          <w:b/>
          <w:i w:val="0"/>
        </w:rPr>
        <w:t xml:space="preserve"> </w:t>
      </w:r>
      <w:r>
        <w:rPr>
          <w:b/>
          <w:i w:val="0"/>
        </w:rPr>
        <w:t>分项验证拒绝明确违例并保留信息不足状态。</w:t>
      </w:r>
      <w:r>
        <w:rPr>
          <w:b w:val="0"/>
          <w:i w:val="0"/>
        </w:rPr>
        <w:t>（A）历史声明72个明确错误fail、18个仅路径partial；（B）3正确图pass、6注入错误fail；（C）本轮15场景按预期返回pass/fail/partial/unverified，合计15/15；（D）参照保持与反转代码均可运行，但仅前者满足不变量。A、B、D为历史机制记录，C为本轮实际运行；数值不合并为自然错误率或一般修复成功率。原件：</w:t>
      </w:r>
      <w:r>
        <w:rPr>
          <w:rFonts w:ascii="DejaVu Sans Mono" w:hAnsi="DejaVu Sans Mono"/>
          <w:b w:val="0"/>
          <w:i w:val="0"/>
          <w:sz w:val="18"/>
        </w:rPr>
        <w:t>figures/composites/Figure_7.pdf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figures/panels/Figure_7[A-D].pdf</w:t>
      </w:r>
      <w:r>
        <w:rPr>
          <w:b w:val="0"/>
          <w:i w:val="0"/>
        </w:rPr>
        <w:t>。新增场景列表见表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8。</w:t>
      </w:r>
    </w:p>
    <w:p>
      <w:pPr>
        <w:pStyle w:val="Heading2"/>
        <w:pageBreakBefore/>
      </w:pPr>
      <w:r>
        <w:rPr>
          <w:b w:val="0"/>
          <w:i w:val="0"/>
        </w:rPr>
        <w:t>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工作台与工程验收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2294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9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图</w:t>
      </w:r>
      <w:r>
        <w:rPr>
          <w:b/>
          <w:i w:val="0"/>
        </w:rPr>
        <w:t xml:space="preserve"> </w:t>
      </w:r>
      <w:r>
        <w:rPr>
          <w:b/>
          <w:i w:val="0"/>
        </w:rPr>
        <w:t>8.</w:t>
      </w:r>
      <w:r>
        <w:rPr>
          <w:b/>
          <w:i w:val="0"/>
        </w:rPr>
        <w:t xml:space="preserve"> </w:t>
      </w:r>
      <w:r>
        <w:rPr>
          <w:b/>
          <w:i w:val="0"/>
        </w:rPr>
        <w:t>项目分析到论文图</w:t>
      </w:r>
      <w:r>
        <w:rPr>
          <w:b/>
          <w:i w:val="0"/>
        </w:rPr>
        <w:t xml:space="preserve"> </w:t>
      </w:r>
      <w:r>
        <w:rPr>
          <w:b/>
          <w:i w:val="0"/>
        </w:rPr>
        <w:t>PDF</w:t>
      </w:r>
      <w:r>
        <w:rPr>
          <w:b/>
          <w:i w:val="0"/>
        </w:rPr>
        <w:t xml:space="preserve"> </w:t>
      </w:r>
      <w:r>
        <w:rPr>
          <w:b/>
          <w:i w:val="0"/>
        </w:rPr>
        <w:t>导出的实际工作流。</w:t>
      </w:r>
      <w:r>
        <w:rPr>
          <w:b w:val="0"/>
          <w:i w:val="0"/>
        </w:rPr>
        <w:t>（A）真实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项目的中文桌面页面；（B）同项目移动视口，宽表在容器内滚动；（C）浏览器实际下载的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Cairo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回读预览，该图为手算工程输入，不是生物数据结果；（D）源码、安装及浏览器的分层检查。截图裁剪自自动化保存页面，未重绘页面。项目展示保留覆盖与方向findings，下载报告使用同一项目；不同浏览器工作区独立仍不等于多租户安全沙箱。原件：</w:t>
      </w:r>
      <w:r>
        <w:rPr>
          <w:rFonts w:ascii="DejaVu Sans Mono" w:hAnsi="DejaVu Sans Mono"/>
          <w:b w:val="0"/>
          <w:i w:val="0"/>
          <w:sz w:val="18"/>
        </w:rPr>
        <w:t>figures/composites/Figure_8.pdf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figures/panels/Figure_8[A-D].pdf</w:t>
      </w:r>
      <w:r>
        <w:rPr>
          <w:b w:val="0"/>
          <w:i w:val="0"/>
        </w:rPr>
        <w:t>。验收范围见表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9。</w:t>
      </w:r>
    </w:p>
    <w:p>
      <w:pPr>
        <w:pStyle w:val="Heading1"/>
        <w:pageBreakBefore/>
      </w:pPr>
      <w:r>
        <w:rPr>
          <w:b w:val="0"/>
          <w:i w:val="0"/>
        </w:rPr>
        <w:t>附录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B：外置表格的表题、表注与来源</w:t>
      </w:r>
    </w:p>
    <w:p>
      <w:r>
        <w:rPr>
          <w:b w:val="0"/>
          <w:i w:val="0"/>
        </w:rPr>
        <w:t>本附录仅保留表题和说明，不插入表格数据。表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1–9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XLSX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UTF-8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CSV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逐一保存在本稿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目录；每个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XLSX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另含“图表说明与来源”工作表。正文引用使用相同编号。</w:t>
      </w:r>
    </w:p>
    <w:p>
      <w:pPr>
        <w:pStyle w:val="Heading2"/>
      </w:pPr>
      <w:r>
        <w:rPr>
          <w:b w:val="0"/>
          <w:i w:val="0"/>
        </w:rPr>
        <w:t>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案例数据、版本与分析边界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列出六个公开数据来源、所测对象/软件版本、规模与各自任务。airway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为8文库/4供体，PBMC3k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为2,700细胞/1供体，miniACC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为92病例；不同观测单位和任务不合并为研究样本量。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data_manifest.json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public_datasets/dataset_tests.json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miniacc_installed_review/summary.json</w:t>
      </w:r>
      <w:r>
        <w:rPr>
          <w:b w:val="0"/>
          <w:i w:val="0"/>
          <w:sz w:val="18"/>
        </w:rPr>
        <w:t>。</w:t>
      </w:r>
      <w:r>
        <w:rPr>
          <w:b/>
          <w:i w:val="0"/>
          <w:sz w:val="18"/>
        </w:rPr>
        <w:t>文件：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tables/Table_1.xlsx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tables/Table_1.csv</w:t>
      </w:r>
      <w:r>
        <w:rPr>
          <w:b w:val="0"/>
          <w:i w:val="0"/>
          <w:sz w:val="18"/>
        </w:rPr>
        <w:t>。</w:t>
      </w:r>
    </w:p>
    <w:p>
      <w:pPr>
        <w:pStyle w:val="Heading2"/>
      </w:pPr>
      <w:r>
        <w:rPr>
          <w:b w:val="0"/>
          <w:i w:val="0"/>
        </w:rPr>
        <w:t>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阈值敏感性及适配器核对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α为0.01/0.05/0.10、τ为0/1/2，共九组合，每组合核对特征数、显著数、上/下调数与缺失校正值；45项全部一致。筛选使用P_adj&lt;α与|log2FC|&gt;τ，NA不作零。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paper_cn_cases_v1/airway_threshold_checks.csv</w:t>
      </w:r>
      <w:r>
        <w:rPr>
          <w:b w:val="0"/>
          <w:i w:val="0"/>
          <w:sz w:val="18"/>
        </w:rPr>
        <w:t>。</w:t>
      </w:r>
      <w:r>
        <w:rPr>
          <w:b/>
          <w:i w:val="0"/>
          <w:sz w:val="18"/>
        </w:rPr>
        <w:t>文件：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tables/Table_2.xlsx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tables/Table_2.csv</w:t>
      </w:r>
      <w:r>
        <w:rPr>
          <w:b w:val="0"/>
          <w:i w:val="0"/>
          <w:sz w:val="18"/>
        </w:rPr>
        <w:t>。</w:t>
      </w:r>
    </w:p>
    <w:p>
      <w:pPr>
        <w:pStyle w:val="Heading2"/>
      </w:pPr>
      <w:r>
        <w:rPr>
          <w:b w:val="0"/>
          <w:i w:val="0"/>
        </w:rPr>
        <w:t>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pasilla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独立来源数值事实核对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六阈值组合×五事实=30项，保存适配器值与直接源表值一致。仅评价数值事实，不代表独立模型解释评价；本轮未重拟合pasilla。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related_tools/pasilla_fact_checks.csv</w:t>
      </w:r>
      <w:r>
        <w:rPr>
          <w:b w:val="0"/>
          <w:i w:val="0"/>
          <w:sz w:val="18"/>
        </w:rPr>
        <w:t>。</w:t>
      </w:r>
      <w:r>
        <w:rPr>
          <w:b/>
          <w:i w:val="0"/>
          <w:sz w:val="18"/>
        </w:rPr>
        <w:t>文件：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tables/Table_3.xlsx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tables/Table_3.csv</w:t>
      </w:r>
      <w:r>
        <w:rPr>
          <w:b w:val="0"/>
          <w:i w:val="0"/>
          <w:sz w:val="18"/>
        </w:rPr>
        <w:t>。</w:t>
      </w:r>
    </w:p>
    <w:p>
      <w:pPr>
        <w:pStyle w:val="Heading2"/>
      </w:pPr>
      <w:r>
        <w:rPr>
          <w:b w:val="0"/>
          <w:i w:val="0"/>
        </w:rPr>
        <w:t>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模态覆盖及统一分母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每模态观测/缺失病例以完整92病例为共同分母，完全观测43、未观测0。合法映射的pass不表示模态齐全；两个模态的交集另存项目结果。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miniacc_installed_review/modality_coverage.csv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alignment_summary.json</w:t>
      </w:r>
      <w:r>
        <w:rPr>
          <w:b w:val="0"/>
          <w:i w:val="0"/>
          <w:sz w:val="18"/>
        </w:rPr>
        <w:t>。</w:t>
      </w:r>
      <w:r>
        <w:rPr>
          <w:b/>
          <w:i w:val="0"/>
          <w:sz w:val="18"/>
        </w:rPr>
        <w:t>文件：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tables/Table_4.xlsx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tables/Table_4.csv</w:t>
      </w:r>
      <w:r>
        <w:rPr>
          <w:b w:val="0"/>
          <w:i w:val="0"/>
          <w:sz w:val="18"/>
        </w:rPr>
        <w:t>。</w:t>
      </w:r>
    </w:p>
    <w:p>
      <w:pPr>
        <w:pStyle w:val="Heading2"/>
      </w:pPr>
      <w:r>
        <w:rPr>
          <w:b w:val="0"/>
          <w:i w:val="0"/>
        </w:rPr>
        <w:t>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33特征效应、方向及显著性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46病例（early28/late18）中效应为late均值−early均值；RNA单位为log2(归一化表达+1)，蛋白为原RPPA单位。Wilcoxon使用渐近及连续性校正，BH按各模态33特征分别计算。same/opposite为符号关系，不替代P值、机制或独立证据。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miniacc_installed_review/feature_results.csv</w:t>
      </w:r>
      <w:r>
        <w:rPr>
          <w:b w:val="0"/>
          <w:i w:val="0"/>
          <w:sz w:val="18"/>
        </w:rPr>
        <w:t>。</w:t>
      </w:r>
      <w:r>
        <w:rPr>
          <w:b/>
          <w:i w:val="0"/>
          <w:sz w:val="18"/>
        </w:rPr>
        <w:t>文件：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tables/Table_5.xlsx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tables/Table_5.csv</w:t>
      </w:r>
      <w:r>
        <w:rPr>
          <w:b w:val="0"/>
          <w:i w:val="0"/>
          <w:sz w:val="18"/>
        </w:rPr>
        <w:t>。</w:t>
      </w:r>
    </w:p>
    <w:p>
      <w:pPr>
        <w:pStyle w:val="Heading2"/>
      </w:pPr>
      <w:r>
        <w:rPr>
          <w:b w:val="0"/>
          <w:i w:val="0"/>
        </w:rPr>
        <w:t>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保存的主消融实验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每方法360请求、1,440目标评分，总1,080请求/4,320评分。匹配率、覆盖和已回答准确率分母分别为全部目标、全部目标、已回答目标；不把重复当独立生物数据。raw为信息受限基线，facts为目标显式提供后的传递。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main_scale_480/ablation_summary.csv</w:t>
      </w:r>
      <w:r>
        <w:rPr>
          <w:b w:val="0"/>
          <w:i w:val="0"/>
          <w:sz w:val="18"/>
        </w:rPr>
        <w:t>。</w:t>
      </w:r>
      <w:r>
        <w:rPr>
          <w:b/>
          <w:i w:val="0"/>
          <w:sz w:val="18"/>
        </w:rPr>
        <w:t>文件：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tables/Table_6.xlsx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tables/Table_6.csv</w:t>
      </w:r>
      <w:r>
        <w:rPr>
          <w:b w:val="0"/>
          <w:i w:val="0"/>
          <w:sz w:val="18"/>
        </w:rPr>
        <w:t>。</w:t>
      </w:r>
    </w:p>
    <w:p>
      <w:pPr>
        <w:pStyle w:val="Heading2"/>
      </w:pPr>
      <w:r>
        <w:rPr>
          <w:b w:val="0"/>
          <w:i w:val="0"/>
        </w:rPr>
        <w:t>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六类功能家族与双模型事实传递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前18行汇总六家族×三方法的主消融；后两行分别为StepFun与DeepSeek单轮的480目标。不同实验分母分开解释，未配置代理和缺失replay不进入API请求数。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main_scale_480/family_summary.csv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common_task_scale_480/common_task_summary.csv</w:t>
      </w:r>
      <w:r>
        <w:rPr>
          <w:b w:val="0"/>
          <w:i w:val="0"/>
          <w:sz w:val="18"/>
        </w:rPr>
        <w:t>。</w:t>
      </w:r>
      <w:r>
        <w:rPr>
          <w:b/>
          <w:i w:val="0"/>
          <w:sz w:val="18"/>
        </w:rPr>
        <w:t>文件：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tables/Table_7.xlsx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tables/Table_7.csv</w:t>
      </w:r>
      <w:r>
        <w:rPr>
          <w:b w:val="0"/>
          <w:i w:val="0"/>
          <w:sz w:val="18"/>
        </w:rPr>
        <w:t>。</w:t>
      </w:r>
    </w:p>
    <w:p>
      <w:pPr>
        <w:pStyle w:val="Heading2"/>
      </w:pPr>
      <w:r>
        <w:rPr>
          <w:b w:val="0"/>
          <w:i w:val="0"/>
        </w:rPr>
        <w:t>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新增开发场景的期望状态与实际状态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15场景均按预期；每行标明来源、目的、期望和实际状态。controlled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mutation为人为注入，hand-computable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fixture为手算工程样例，两者均不当作自然生物学样本。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paper_cn_cases_v1/scenario_checks.csv</w:t>
      </w:r>
      <w:r>
        <w:rPr>
          <w:b w:val="0"/>
          <w:i w:val="0"/>
          <w:sz w:val="18"/>
        </w:rPr>
        <w:t>。</w:t>
      </w:r>
      <w:r>
        <w:rPr>
          <w:b/>
          <w:i w:val="0"/>
          <w:sz w:val="18"/>
        </w:rPr>
        <w:t>文件：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tables/Table_8.xlsx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tables/Table_8.csv</w:t>
      </w:r>
      <w:r>
        <w:rPr>
          <w:b w:val="0"/>
          <w:i w:val="0"/>
          <w:sz w:val="18"/>
        </w:rPr>
        <w:t>。</w:t>
      </w:r>
    </w:p>
    <w:p>
      <w:pPr>
        <w:pStyle w:val="Heading2"/>
      </w:pPr>
      <w:r>
        <w:rPr>
          <w:b w:val="0"/>
          <w:i w:val="0"/>
        </w:rPr>
        <w:t>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工程验收与复现层级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本轮源码、包和浏览器日志与此前安装/API/miniACC数值复核分别注明。74/74只为历史名称/位置参数，Python复核未独立重算Wilcoxon原始P。工程pass不表示专家、用户或科学泛化结果。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w00_baseline/paper-cn-*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review-*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与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REVIEW_CONTINUATION.md</w:t>
      </w:r>
      <w:r>
        <w:rPr>
          <w:b w:val="0"/>
          <w:i w:val="0"/>
          <w:sz w:val="18"/>
        </w:rPr>
        <w:t>。</w:t>
      </w:r>
      <w:r>
        <w:rPr>
          <w:b/>
          <w:i w:val="0"/>
          <w:sz w:val="18"/>
        </w:rPr>
        <w:t>文件：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tables/Table_9.xlsx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tables/Table_9.csv</w:t>
      </w:r>
      <w:r>
        <w:rPr>
          <w:b w:val="0"/>
          <w:i w:val="0"/>
          <w:sz w:val="18"/>
        </w:rPr>
        <w:t>。</w:t>
      </w:r>
    </w:p>
    <w:p>
      <w:pPr>
        <w:pStyle w:val="Heading1"/>
        <w:pageBreakBefore/>
      </w:pPr>
      <w:r>
        <w:rPr>
          <w:b w:val="0"/>
          <w:i w:val="0"/>
        </w:rPr>
        <w:t>附录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C：后续可补充的研究与稿件内容</w:t>
      </w:r>
    </w:p>
    <w:p>
      <w:r>
        <w:rPr>
          <w:b w:val="0"/>
          <w:i w:val="0"/>
        </w:rPr>
        <w:t>本节预留后续内容的位置，当前不填写专家分数、用户评价或体验结果。</w:t>
      </w:r>
    </w:p>
    <w:p>
      <w:pPr>
        <w:pStyle w:val="Heading2"/>
      </w:pPr>
      <w:r>
        <w:rPr>
          <w:b w:val="0"/>
          <w:i w:val="0"/>
        </w:rPr>
        <w:t>C.1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独立专家评价［待补充］</w:t>
      </w:r>
    </w:p>
    <w:p>
      <w:r>
        <w:rPr>
          <w:b w:val="0"/>
          <w:i w:val="0"/>
        </w:rPr>
        <w:t>待软件、案例及评价材料准备完成后，可补充专家背景与评价流程、冻结案例/参考材料、匿名方法、独立评分、分歧处理以及统计/生物学论断支持程度。结果、图表编号与讨论位置均留待实际评价完成后扩展。</w:t>
      </w:r>
    </w:p>
    <w:p>
      <w:pPr>
        <w:pStyle w:val="Heading2"/>
      </w:pPr>
      <w:r>
        <w:rPr>
          <w:b w:val="0"/>
          <w:i w:val="0"/>
        </w:rPr>
        <w:t>C.2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用户使用体验与可用性［deferred；待补充］</w:t>
      </w:r>
    </w:p>
    <w:p>
      <w:r>
        <w:rPr>
          <w:b w:val="0"/>
          <w:i w:val="0"/>
        </w:rPr>
        <w:t>可补充初级研究者的真实任务体验、结果理解正确率、错误发现率、完成时间、认知负荷、界面易用性、信任校准和访谈。届时应说明任务、样本来源、对照和量表；目前不填写用户满意度或使用收益结论。</w:t>
      </w:r>
    </w:p>
    <w:p>
      <w:pPr>
        <w:pStyle w:val="Heading2"/>
      </w:pPr>
      <w:r>
        <w:rPr>
          <w:b w:val="0"/>
          <w:i w:val="0"/>
        </w:rPr>
        <w:t>C.3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学习效果与独立验证［待补充］</w:t>
      </w:r>
    </w:p>
    <w:p>
      <w:r>
        <w:rPr>
          <w:b w:val="0"/>
          <w:i w:val="0"/>
        </w:rPr>
        <w:t>可进一步增加预注册的学习前后对照、知识迁移、独立数据/冻结test-gold、更多模型及相近工具的共同任务比较。该部分应与当前确定性数值传递和工程终点分别报告。</w:t>
      </w:r>
    </w:p>
    <w:p>
      <w:pPr>
        <w:pStyle w:val="Heading2"/>
      </w:pPr>
      <w:r>
        <w:rPr>
          <w:b w:val="0"/>
          <w:i w:val="0"/>
        </w:rPr>
        <w:t>C.4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投稿信息与最终图稿审阅［待补充］</w:t>
      </w:r>
    </w:p>
    <w:p>
      <w:r>
        <w:rPr>
          <w:b w:val="0"/>
          <w:i w:val="0"/>
        </w:rPr>
        <w:t>作者、单位、通讯、真实贡献、基金、利益冲突、公开代码归档及最终人工图稿审阅位置均已预留；人员研究开展后再填写实际伦理/同意信息。本版本为中文初稿，后续英文稿与期刊格式在内容审定后整理。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Noto Sans CJK SC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88" w:lineRule="auto"/>
      <w:outlineLvl w:val="0"/>
    </w:pPr>
    <w:rPr>
      <w:rFonts w:ascii="Calibri" w:hAnsi="Calibri" w:eastAsia="Noto Sans CJK SC"/>
      <w:b/>
      <w:bCs/>
      <w:color w:val="2020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="Calibri" w:hAnsi="Calibri" w:eastAsia="Noto Sans CJK SC"/>
      <w:b/>
      <w:bCs/>
      <w:color w:val="20202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</w:pPr>
    <w:rPr>
      <w:rFonts w:ascii="Calibri" w:hAnsi="Calibri" w:eastAsia="Noto Sans CJK SC"/>
      <w:b/>
      <w:bCs/>
      <w:color w:val="20202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88" w:lineRule="auto"/>
      <w:contextualSpacing/>
    </w:pPr>
    <w:rPr>
      <w:rFonts w:ascii="Calibri" w:hAnsi="Calibri" w:eastAsia="Noto Sans CJK SC"/>
      <w:color w:val="20202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8" w:lineRule="auto"/>
    </w:pPr>
    <w:rPr>
      <w:rFonts w:ascii="Calibri" w:hAnsi="Calibri" w:eastAsia="Noto Sans CJK SC"/>
      <w:i/>
      <w:iCs/>
      <w:color w:val="20202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