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BioExplainR：已有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生物信息学结果的事实约束解释与可追溯核对</w:t>
      </w:r>
    </w:p>
    <w:p>
      <w:pPr>
        <w:pStyle w:val="Subtitle"/>
      </w:pPr>
      <w:r>
        <w:rPr>
          <w:b w:val="0"/>
          <w:i w:val="0"/>
        </w:rPr>
        <w:t>中文论文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</w:t>
      </w:r>
    </w:p>
    <w:p>
      <w:pPr/>
      <w:r>
        <w:rPr>
          <w:b w:val="0"/>
          <w:i w:val="0"/>
        </w:rPr>
        <w:t>2026-10-08</w:t>
      </w:r>
    </w:p>
    <w:p>
      <w:r>
        <w:rPr>
          <w:b/>
          <w:i w:val="0"/>
        </w:rPr>
        <w:t>作者</w:t>
      </w:r>
      <w:r>
        <w:rPr>
          <w:b/>
          <w:i w:val="0"/>
        </w:rPr>
        <w:t xml:space="preserve"> </w:t>
      </w:r>
      <w:r>
        <w:rPr>
          <w:b/>
          <w:i w:val="0"/>
        </w:rPr>
        <w:t>/</w:t>
      </w:r>
      <w:r>
        <w:rPr>
          <w:b/>
          <w:i w:val="0"/>
        </w:rPr>
        <w:t xml:space="preserve"> </w:t>
      </w:r>
      <w:r>
        <w:rPr>
          <w:b/>
          <w:i w:val="0"/>
        </w:rPr>
        <w:t>单位</w:t>
      </w:r>
      <w:r>
        <w:rPr>
          <w:b/>
          <w:i w:val="0"/>
        </w:rPr>
        <w:t xml:space="preserve"> </w:t>
      </w:r>
      <w:r>
        <w:rPr>
          <w:b/>
          <w:i w:val="0"/>
        </w:rPr>
        <w:t>/</w:t>
      </w:r>
      <w:r>
        <w:rPr>
          <w:b/>
          <w:i w:val="0"/>
        </w:rPr>
        <w:t xml:space="preserve"> </w:t>
      </w:r>
      <w:r>
        <w:rPr>
          <w:b/>
          <w:i w:val="0"/>
        </w:rPr>
        <w:t>通讯作者：</w:t>
      </w:r>
      <w:r>
        <w:rPr>
          <w:b w:val="0"/>
          <w:i w:val="0"/>
        </w:rPr>
        <w:t>［待填写］</w:t>
      </w:r>
    </w:p>
    <w:p>
      <w:pPr>
        <w:pStyle w:val="Heading1"/>
      </w:pPr>
      <w:r>
        <w:rPr>
          <w:b w:val="0"/>
          <w:i w:val="0"/>
        </w:rPr>
        <w:t>摘要</w:t>
      </w:r>
    </w:p>
    <w:p>
      <w:r>
        <w:rPr>
          <w:b/>
          <w:i w:val="0"/>
        </w:rPr>
        <w:t>目的：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将生物信息学计算结果可靠地转化为可审查的解释，需要同时保留统计事实、研究单位及来源。BioExplainR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结果提供统一的解释与核对层。</w:t>
      </w:r>
    </w:p>
    <w:p>
      <w:r>
        <w:rPr>
          <w:b/>
          <w:i w:val="0"/>
        </w:rPr>
        <w:t>方法：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完整输入确定性计算事实，以可选语言模型组织措辞，并分别核对声明、图形、样本映射及结果关系。使用公开数据、受控错误、保存的输入消融和软件验收评价工作流；增加按发现集规则固定候选后进行外部实验检验的案例。</w:t>
      </w:r>
    </w:p>
    <w:p>
      <w:r>
        <w:rPr>
          <w:b/>
          <w:i w:val="0"/>
        </w:rPr>
        <w:t>结果：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九组阈值的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项全表事实均与源表一致；miniACC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病例共同分母下显示仅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个五模态完整病例，并区分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RNA/蛋白符号与显著性。历史固定目标实验中，有界原始预览匹配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437/1,440，显式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事实输入匹配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1,440/1,440；新增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场景均返回预期状态。发现案例将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固定为候选，外部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GSE34313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小时地塞米松处理相对未处理效应为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+4.132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发布表达单位（95%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3.748–4.515，Welch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P=1.55×10</w:t>
      </w:r>
      <w:r>
        <w:rPr>
          <w:b w:val="0"/>
          <w:i w:val="0"/>
          <w:vertAlign w:val="superscript"/>
        </w:rPr>
        <w:t>-4</w:t>
      </w:r>
      <w:r>
        <w:rPr>
          <w:b w:val="0"/>
          <w:i w:val="0"/>
        </w:rPr>
        <w:t>）；该实验来自单一细胞系，支持表达响应的初步重复。</w:t>
      </w:r>
    </w:p>
    <w:p>
      <w:r>
        <w:rPr>
          <w:b/>
          <w:i w:val="0"/>
        </w:rPr>
        <w:t>结论：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四项贡献是完整事实传递、科学范围与独立单位保留、可定位分项核对，以及带依赖和覆盖分母的项目报告。外部案例展示候选优先排序到验证的可复现衔接；自由文本质量、供体独立泛化与用户收益仍需专门评价。</w:t>
      </w:r>
    </w:p>
    <w:p>
      <w:r>
        <w:rPr>
          <w:b/>
          <w:i w:val="0"/>
        </w:rPr>
        <w:t>关键词：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生物信息学；R；确定性事实；可追溯解释；结果验证；多组学</w:t>
      </w:r>
    </w:p>
    <w:p>
      <w:pPr>
        <w:pStyle w:val="Heading1"/>
      </w:pP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引言</w:t>
      </w:r>
    </w:p>
    <w:p>
      <w:r>
        <w:rPr>
          <w:b w:val="0"/>
          <w:i w:val="0"/>
        </w:rPr>
        <w:t>R/Bioconductor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的统计方法和对象基础设施支持转录组、单细胞与多组学分析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[1–6]。计算完成后，研究者仍需判断结果数量、比较方向、图源一致性以及证据独立性。顶部预览不能确定全表显著数；数千细胞不一定是数千独立重复；同病例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RNA/蛋白结果也不构成独立验证。自然语言解释需要把这些边界一起呈现。</w:t>
      </w:r>
    </w:p>
    <w:p>
      <w:r>
        <w:rPr>
          <w:b w:val="0"/>
          <w:i w:val="0"/>
        </w:rPr>
        <w:t>已有工具在细胞类型标注、单细胞工作流、基因集知识验证、交互探索和模型连接上形成不同优势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[7–13]。BioExplainR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任务是审查已有结果，四项核心贡献为：（1）从完整输入计算并传递确定性事实；（2）保留来源、比较、单位和不确定性；（3）对声明、图形与明确关系返回可定位检查；（4）以项目依赖、模态覆盖和统一报告连接多结果。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展示其与相近工具的任务定位，图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展示对象到报告的流程。</w:t>
      </w:r>
    </w:p>
    <w:p>
      <w:pPr>
        <w:pStyle w:val="Heading1"/>
      </w:pP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</w:t>
      </w:r>
    </w:p>
    <w:p>
      <w:pPr>
        <w:pStyle w:val="Heading2"/>
      </w:pPr>
      <w:r>
        <w:rPr>
          <w:b w:val="0"/>
          <w:i w:val="0"/>
        </w:rPr>
        <w:t>2.1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事实约束的解释入口</w:t>
      </w:r>
    </w:p>
    <w:p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将差异表达、富集、PCA、单细胞及多组学对象适配为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bio_context</w:t>
      </w:r>
      <w:r>
        <w:rPr>
          <w:b w:val="0"/>
          <w:i w:val="0"/>
        </w:rPr>
        <w:t>，记录来源状态、facts、有限预览、scope、design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和事实描述符。R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计算计数、方向、方差和分母；模型可选，用于组织语言。差异表达筛选采用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τ，缺失值不视为零，校正沿用上游方法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[14,15]。默认模型载荷保留全部可发送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facts，超预算显式失败；矩阵、原始映射和标识保留本地。离线模板可完成解释与报告。技术契约、数值精度和模型协议见补充方法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S1–S4。</w:t>
      </w:r>
    </w:p>
    <w:p>
      <w:pPr>
        <w:pStyle w:val="Heading2"/>
      </w:pPr>
      <w:r>
        <w:rPr>
          <w:b w:val="0"/>
          <w:i w:val="0"/>
        </w:rPr>
        <w:t>2.2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分项核对与多结果追踪</w:t>
      </w:r>
    </w:p>
    <w:p>
      <w:r>
        <w:rPr>
          <w:b w:val="0"/>
          <w:i w:val="0"/>
        </w:rPr>
        <w:t>声明验证核对显式路径、类型、数值、方向、单位和范围；证据记录保留数据库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ID、来源与访问时间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[16–20]。图形检查比较支持的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ggplot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映射与源结果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[21]；代码修复核对用户指定不变量。样本映射分别报告合法性、模态覆盖及完整病例数；明确的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same/opposite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关系先核对特征和科学范围，再比较有限非零效应符号。输出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pass、fail、partial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unverified，缺信息不提升为通过。项目依赖及本地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工作台将这些检查串入同一报告（补充方法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S5–S7）。</w:t>
      </w:r>
    </w:p>
    <w:p>
      <w:pPr>
        <w:pStyle w:val="Heading2"/>
      </w:pPr>
      <w:r>
        <w:rPr>
          <w:b w:val="0"/>
          <w:i w:val="0"/>
        </w:rPr>
        <w:t>2.3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分层评价</w:t>
      </w:r>
    </w:p>
    <w:p>
      <w:r>
        <w:rPr>
          <w:b w:val="0"/>
          <w:i w:val="0"/>
        </w:rPr>
        <w:t>六个公开来源承担不同任务：airway/GSE52778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配对转录组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[22,23]，PBMC3k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单供体对象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[24–26]，pasilla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阈值事实，ALL/bladderbatch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设计字段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[27,28]，miniACC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多模态覆盖与方向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[6,29]。完整预处理见补充方法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S8。历史模型实验产生于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0.3.1：120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程序案例、480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唯一目标事实、三输入×三重复，合计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请求与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4,320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评分；每方法分母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1,440。当前开发版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增加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数值核对、15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开发场景和安装/浏览器验收。不同层级分母分别报告（补充方法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S9–S10，表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S1–S9），不汇总为总体准确率。</w:t>
      </w:r>
    </w:p>
    <w:p>
      <w:pPr>
        <w:pStyle w:val="Heading2"/>
      </w:pPr>
      <w:r>
        <w:rPr>
          <w:b w:val="0"/>
          <w:i w:val="0"/>
        </w:rPr>
        <w:t>2.4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候选固定与外部实验验证</w:t>
      </w:r>
    </w:p>
    <w:p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上调集合（P_adj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0.05、log2FC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1）中按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P_adj、feature_id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升序选择首个特征，固定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ENSG00000152583/SPARCL1。读取外部候选表达和检验前保存候选、分析方案、UTC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与哈希；元数据及原论文已用于可用性审查，此为前瞻冻结的分析规则，非预注册。主陈述为“SPARCL1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在外部人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小时地塞米松实验上调”。</w:t>
      </w:r>
    </w:p>
    <w:p>
      <w:r>
        <w:rPr>
          <w:b w:val="0"/>
          <w:i w:val="0"/>
        </w:rPr>
        <w:t>外部来源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GSE34313/GPL6480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为不同平台和实验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[30]，发布数据保留未处理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4、4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小时处理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3、24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小时处理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个数组。原论文说明微阵列来自一个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细胞系，故重复单位为培养重复，不能声称独立供体队列。使用发布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值、精确单符号匹配的全部探针，不重新归一化或按显著性选择探针；多探针预定以中位数合并。主终点为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小时处理−未处理均值差、两侧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检验和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CI；4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小时为次要终点，另报告两时间点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种分组枚举置换。Python/SciPy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独立实现交叉复核，并用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生成两个来源各自带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scope/unit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的项目报告（补充方法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S11，表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S10）。</w:t>
      </w:r>
    </w:p>
    <w:p>
      <w:pPr>
        <w:pStyle w:val="Heading1"/>
      </w:pP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</w:t>
      </w:r>
    </w:p>
    <w:p>
      <w:pPr>
        <w:pStyle w:val="Heading2"/>
      </w:pPr>
      <w:r>
        <w:rPr>
          <w:b w:val="0"/>
          <w:i w:val="0"/>
        </w:rPr>
        <w:t>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完整事实与科学分母同步保留</w:t>
      </w:r>
    </w:p>
    <w:p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主阈值下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个显著特征包括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上调、480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下调；九阈值×五事实为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45/45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一致。pasilla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六阈值的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项保存事实全部一致。PBMC3k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SeuratObject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均保留“2,700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供体”，ALL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保留表型/批次字段（补充图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S2–S4、表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S1–S3）。这些结果支持所测对象的一致提取。</w:t>
      </w:r>
    </w:p>
    <w:p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病例中仅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个五模态完整，尽管映射合法；RNA/蛋白配对且分期已知的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病例为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28、late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18。33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共有特征中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同向、15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反向，RNA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和蛋白分别有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个通过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0.05。项目报告分开呈现覆盖、符号和显著性（补充图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S4–S5），避免由映射通过推出测量完整或由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变化替代蛋白结论。</w:t>
      </w:r>
    </w:p>
    <w:p>
      <w:pPr>
        <w:pStyle w:val="Heading2"/>
      </w:pPr>
      <w:r>
        <w:rPr>
          <w:b w:val="0"/>
          <w:i w:val="0"/>
        </w:rPr>
        <w:t>3.2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显式事实提高目标传递覆盖，检查定位明确违例</w:t>
      </w:r>
    </w:p>
    <w:p>
      <w:r>
        <w:rPr>
          <w:b w:val="0"/>
          <w:i w:val="0"/>
        </w:rPr>
        <w:t>历史有界原始输出匹配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437/1,440（30.35%），覆盖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516/1,440（35.83%）；两种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事实输入均匹配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1,440/1,440。双模型固定共同任务各匹配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480/480。目标已在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中显式提供，因此结果评价传递覆盖，而非自由文本全面正确、独立推理或工具排名（补充图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S6–S7）。</w:t>
      </w:r>
    </w:p>
    <w:p>
      <w:r>
        <w:rPr>
          <w:b w:val="0"/>
          <w:i w:val="0"/>
        </w:rPr>
        <w:t>历史声明挑战将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个明确错误判为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fail、18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个缺值声明判为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partial；六种图形错误被拒绝。当前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场景均返回期望状态：8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pass、5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fail、1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partial、1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unverified。缺比较范围保持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unverified，反转比较和错误方向返回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fail（补充图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S8）。另有数值与引用通过但自由文本错误暗示已做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shrinkage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的负例，说明未声明措辞仍需审查。</w:t>
      </w:r>
    </w:p>
    <w:p>
      <w:pPr>
        <w:pStyle w:val="Heading2"/>
      </w:pPr>
      <w:r>
        <w:rPr>
          <w:b w:val="0"/>
          <w:i w:val="0"/>
        </w:rPr>
        <w:t>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候选在外部实验获得初步重复</w:t>
      </w:r>
    </w:p>
    <w:p>
      <w:r>
        <w:rPr>
          <w:b w:val="0"/>
          <w:i w:val="0"/>
        </w:rPr>
        <w:t>发现集按固定规则选择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SPARCL1，log2FC=+4.575、P_adj=7.06×10</w:t>
      </w:r>
      <w:r>
        <w:rPr>
          <w:b w:val="0"/>
          <w:i w:val="0"/>
          <w:vertAlign w:val="superscript"/>
        </w:rPr>
        <w:t>-132</w:t>
      </w:r>
      <w:r>
        <w:rPr>
          <w:b w:val="0"/>
          <w:i w:val="0"/>
        </w:rPr>
        <w:t>。外部平台只有一个精确匹配探针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A_23_P113351，全部十个发布数组用于预定分析。主比较效应为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+4.132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表达单位（95%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3.748–4.515，Welch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P=1.55×10</w:t>
      </w:r>
      <w:r>
        <w:rPr>
          <w:b w:val="0"/>
          <w:i w:val="0"/>
          <w:vertAlign w:val="superscript"/>
        </w:rPr>
        <w:t>-4</w:t>
      </w:r>
      <w:r>
        <w:rPr>
          <w:b w:val="0"/>
          <w:i w:val="0"/>
        </w:rPr>
        <w:t>；两时间点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P=1.55×10</w:t>
      </w:r>
      <w:r>
        <w:rPr>
          <w:b w:val="0"/>
          <w:i w:val="0"/>
          <w:vertAlign w:val="superscript"/>
        </w:rPr>
        <w:t>-4</w:t>
      </w:r>
      <w:r>
        <w:rPr>
          <w:b w:val="0"/>
          <w:i w:val="0"/>
        </w:rPr>
        <w:t>），精确置换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P=1/35=0.02857。次要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小时效应为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+1.966（Welch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P=6.57×10</w:t>
      </w:r>
      <w:r>
        <w:rPr>
          <w:b w:val="0"/>
          <w:i w:val="0"/>
          <w:vertAlign w:val="superscript"/>
        </w:rPr>
        <w:t>-6</w:t>
      </w:r>
      <w:r>
        <w:rPr>
          <w:b w:val="0"/>
          <w:i w:val="0"/>
        </w:rPr>
        <w:t>）。图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展示输入、效应及完整验证记录。</w:t>
      </w:r>
    </w:p>
    <w:p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报告将发现与外部实验分别标记为供体配对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和单细胞系培养重复，保留比较、单位、依赖及未验证机制。R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独立重算十项效应/P/CI/置换事实和两项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值均一致。该案例支持候选表达响应的外部初步重复，并提出“SPARCL1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参与糖皮质激素相关基质改变”的后续可检验假设；不声称首次发现响应、直接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靶点、蛋白机制或临床效应。新增独立供体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qPCR、GR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干预和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功能实验是验证该机制的下一步。</w:t>
      </w:r>
    </w:p>
    <w:p>
      <w:pPr>
        <w:pStyle w:val="Heading2"/>
      </w:pPr>
      <w:r>
        <w:rPr>
          <w:b w:val="0"/>
          <w:i w:val="0"/>
        </w:rPr>
        <w:t>3.4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项目工作流的工程复现</w:t>
      </w:r>
    </w:p>
    <w:p>
      <w:r>
        <w:rPr>
          <w:b w:val="0"/>
          <w:i w:val="0"/>
        </w:rPr>
        <w:t>保存的软件验收为源码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677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项（676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pass、1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skip）与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CMD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OK。真实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安装包重跑八个核心表逐字节一致。工作台项目专用分派、同项目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报告及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Cairo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下载经桌面/移动浏览器核对；历史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与边界探针的范围见补充表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S9。上述工程终点支持可运行性和可追踪性，不替代科学与人员研究。</w:t>
      </w:r>
    </w:p>
    <w:p>
      <w:pPr>
        <w:pStyle w:val="Heading1"/>
      </w:pP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讨论</w:t>
      </w:r>
    </w:p>
    <w:p>
      <w:pPr>
        <w:pStyle w:val="Heading2"/>
      </w:pPr>
      <w:r>
        <w:rPr>
          <w:b w:val="0"/>
          <w:i w:val="0"/>
        </w:rPr>
        <w:t>4.1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与相近工具互补的集成审查层</w:t>
      </w:r>
    </w:p>
    <w:p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的比较突出了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的集成价值：完整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facts、来源/scope/unit、声明与图源检查、映射分母和项目依赖在同一工作流中保留。iSEE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的交互探索、SCassist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的单细胞指导、GeneAgent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的基因集自验证、ellmer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的模型连接和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的专用标注各有成熟优势。SCassist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已从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指标增强提示，GeneAgent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已提供数据库自验证，故“使用统计摘要”或“检索证据”本身不能作为本文唯一创新。本文的贡献在于以已有结果为中心，把四个核心环节组合为无需模型也可工作的可检查解释层。</w:t>
      </w:r>
    </w:p>
    <w:p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增加了从结果解释到候选固定、外部检验和可证伪后续实验的完整链条。事实和结论边界随项目传递，使正向结果能够附带适当单位及独立性说明。该链条体现软件促进透明研究的用途，不构成知识发现准确率的评测。</w:t>
      </w:r>
    </w:p>
    <w:p>
      <w:pPr>
        <w:pStyle w:val="Heading2"/>
      </w:pPr>
      <w:r>
        <w:rPr>
          <w:b w:val="0"/>
          <w:i w:val="0"/>
        </w:rPr>
        <w:t>4.2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局限与后续评价</w:t>
      </w:r>
    </w:p>
    <w:p>
      <w:r>
        <w:rPr>
          <w:b w:val="0"/>
          <w:i w:val="0"/>
        </w:rPr>
        <w:t>功能表依据原文和官方文档，未做统一任务性能排名，</w:t>
      </w:r>
      <w:r>
        <w:t>"</w:t>
      </w:r>
      <w:r>
        <w:rPr>
          <w:b w:val="0"/>
          <w:i w:val="0"/>
        </w:rPr>
        <w:t>未见内置接口</w:t>
      </w:r>
      <w:r>
        <w:t>"</w:t>
      </w:r>
      <w:r>
        <w:rPr>
          <w:b w:val="0"/>
          <w:i w:val="0"/>
        </w:rPr>
        <w:t>不等于无法扩展。模型实验用程序生成输入及保存响应，新场景为开发案例，图形检查限于支持映射。外部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数据是单细胞系小样本实验，无法核实与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的逐供体重叠，也未验证蛋白、因果或临床终点；processed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单位未强行转换为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log2FC。发表数据的响应可能已在既有文献中报告，不能据本轮重分析主张首次发现。</w:t>
      </w:r>
    </w:p>
    <w:p>
      <w:r>
        <w:rPr>
          <w:b w:val="0"/>
          <w:i w:val="0"/>
        </w:rPr>
        <w:t>目前没有新的专家评分、用户收益或学习增益；这些应由真实独立研究评价。工程方面尚无自动完整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分块、全部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行为独立确认或全新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锁定复现。Shiny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为本地共享权限应用。补充材料保留协议、具体预处理、逐项结果和工程边界，以支持后续评价。</w:t>
      </w:r>
    </w:p>
    <w:p>
      <w:pPr>
        <w:pStyle w:val="Heading1"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结论</w:t>
      </w:r>
    </w:p>
    <w:p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围绕完整事实、科学范围、可定位核对和项目溯源四项贡献，为已有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生物信息学结果提供可审查解释。公开案例与外部候选实验展示其从数值结果到验证记录的衔接能力；科学机制和真实用户收益仍需要专门证据。</w:t>
      </w:r>
    </w:p>
    <w:p>
      <w:pPr>
        <w:pStyle w:val="Heading1"/>
      </w:pPr>
      <w:r>
        <w:rPr>
          <w:b w:val="0"/>
          <w:i w:val="0"/>
        </w:rPr>
        <w:t>数据与代码可用性</w:t>
      </w:r>
    </w:p>
    <w:p>
      <w:r>
        <w:rPr>
          <w:b w:val="0"/>
          <w:i w:val="0"/>
        </w:rPr>
        <w:t>软件为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0.4.0.9000，MIT。本轮已获公开发布授权；GitHub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仓库创建受当前令牌权限阻塞，</w:t>
      </w:r>
      <w:r>
        <w:rPr>
          <w:b/>
          <w:i w:val="0"/>
        </w:rPr>
        <w:t>正式网址、公开</w:t>
      </w:r>
      <w:r>
        <w:rPr>
          <w:b/>
          <w:i w:val="0"/>
        </w:rPr>
        <w:t xml:space="preserve"> </w:t>
      </w:r>
      <w:r>
        <w:rPr>
          <w:b/>
          <w:i w:val="0"/>
        </w:rPr>
        <w:t>release</w:t>
      </w:r>
      <w:r>
        <w:rPr>
          <w:b/>
          <w:i w:val="0"/>
        </w:rPr>
        <w:t xml:space="preserve"> </w:t>
      </w:r>
      <w:r>
        <w:rPr>
          <w:b/>
          <w:i w:val="0"/>
        </w:rPr>
        <w:t>与</w:t>
      </w:r>
      <w:r>
        <w:rPr>
          <w:b/>
          <w:i w:val="0"/>
        </w:rPr>
        <w:t xml:space="preserve"> </w:t>
      </w:r>
      <w:r>
        <w:rPr>
          <w:b/>
          <w:i w:val="0"/>
        </w:rPr>
        <w:t>DOI</w:t>
      </w:r>
      <w:r>
        <w:rPr>
          <w:b/>
          <w:i w:val="0"/>
        </w:rPr>
        <w:t xml:space="preserve"> </w:t>
      </w:r>
      <w:r>
        <w:rPr>
          <w:b/>
          <w:i w:val="0"/>
        </w:rPr>
        <w:t>尚未建立</w:t>
      </w:r>
      <w:r>
        <w:rPr>
          <w:b w:val="0"/>
          <w:i w:val="0"/>
        </w:rPr>
        <w:t>，不填写推测地址或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DOI。具体状态见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docs/RELEASE_ARCHIVE.md</w:t>
      </w:r>
      <w:r>
        <w:rPr>
          <w:b w:val="0"/>
          <w:i w:val="0"/>
        </w:rPr>
        <w:t>。代码、复现协议与输出分别位于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research/discovery/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research/results/discovery_sparcl1_v1/</w:t>
      </w:r>
      <w:r>
        <w:rPr>
          <w:b w:val="0"/>
          <w:i w:val="0"/>
        </w:rPr>
        <w:t>；主表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及补充表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S1–S10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同时提供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CSV/XLSX。原中文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保留，当前稿及独立补充材料见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docs/paper_cn_v2/</w:t>
      </w:r>
      <w:r>
        <w:rPr>
          <w:b w:val="0"/>
          <w:i w:val="0"/>
        </w:rPr>
        <w:t>。</w:t>
      </w:r>
    </w:p>
    <w:p>
      <w:r>
        <w:rPr>
          <w:b/>
          <w:i w:val="0"/>
        </w:rPr>
        <w:t>作者贡献、基金、利益冲突：</w:t>
      </w:r>
      <w:r>
        <w:rPr>
          <w:b w:val="0"/>
          <w:i w:val="0"/>
        </w:rPr>
        <w:t>［待填写］。本稿使用公开数据及软件验证；人员研究信息待实际开展后补充。AI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助手用于开发和稿件整理，统计值依据源结果与执行记录；最终作者确认［待填写］。</w:t>
      </w:r>
    </w:p>
    <w:p>
      <w:pPr>
        <w:pStyle w:val="Heading1"/>
      </w:pPr>
      <w:r>
        <w:rPr>
          <w:b w:val="0"/>
          <w:i w:val="0"/>
        </w:rPr>
        <w:t>参考文献</w:t>
      </w:r>
    </w:p>
    <w:p>
      <w:r>
        <w:t xml:space="preserve">1. </w:t>
      </w:r>
      <w:r>
        <w:rPr>
          <w:b w:val="0"/>
          <w:i w:val="0"/>
        </w:rPr>
        <w:t>Love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estimation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2014;15:550.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10.1186/s13059-014-0550-8</w:t>
      </w:r>
      <w:r>
        <w:rPr>
          <w:b w:val="0"/>
          <w:i w:val="0"/>
        </w:rPr>
        <w:t>.</w:t>
      </w:r>
    </w:p>
    <w:p>
      <w:r>
        <w:t xml:space="preserve">2. </w:t>
      </w:r>
      <w:r>
        <w:rPr>
          <w:b w:val="0"/>
          <w:i w:val="0"/>
        </w:rPr>
        <w:t>Ritchie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RNA-sequencing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microarray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studies.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2015;43:e47.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10.1093/nar/gkv007</w:t>
      </w:r>
      <w:r>
        <w:rPr>
          <w:b w:val="0"/>
          <w:i w:val="0"/>
        </w:rPr>
        <w:t>.</w:t>
      </w:r>
    </w:p>
    <w:p>
      <w:r>
        <w:t xml:space="preserve">3. </w:t>
      </w:r>
      <w:r>
        <w:rPr>
          <w:b w:val="0"/>
          <w:i w:val="0"/>
        </w:rPr>
        <w:t>Robinson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McCarthy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Smyth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GK.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package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digital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2010;26:139–140.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10.1093/bioinformatics/btp616</w:t>
      </w:r>
      <w:r>
        <w:rPr>
          <w:b w:val="0"/>
          <w:i w:val="0"/>
        </w:rPr>
        <w:t>.</w:t>
      </w:r>
    </w:p>
    <w:p>
      <w:r>
        <w:t xml:space="preserve">4. </w:t>
      </w:r>
      <w:r>
        <w:rPr>
          <w:b w:val="0"/>
          <w:i w:val="0"/>
        </w:rPr>
        <w:t>Amezquita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Orchestrating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2020;17:137–145.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10.1038/s41592-019-0654-x</w:t>
      </w:r>
      <w:r>
        <w:rPr>
          <w:b w:val="0"/>
          <w:i w:val="0"/>
        </w:rPr>
        <w:t>.</w:t>
      </w:r>
    </w:p>
    <w:p>
      <w:r>
        <w:t xml:space="preserve">5. </w:t>
      </w:r>
      <w:r>
        <w:rPr>
          <w:b w:val="0"/>
          <w:i w:val="0"/>
        </w:rPr>
        <w:t>Hao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Dictionary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learning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integrative,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multimodal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scalable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Biotechnol.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2024;42:293–304.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10.1038/s41587-023-01767-y</w:t>
      </w:r>
      <w:r>
        <w:rPr>
          <w:b w:val="0"/>
          <w:i w:val="0"/>
        </w:rPr>
        <w:t>.</w:t>
      </w:r>
    </w:p>
    <w:p>
      <w:r>
        <w:t xml:space="preserve">6. </w:t>
      </w:r>
      <w:r>
        <w:rPr>
          <w:b w:val="0"/>
          <w:i w:val="0"/>
        </w:rPr>
        <w:t>Ramos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Software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multi-omics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experiments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Cancer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2017;77:e39–e42.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10.1158/0008-5472.CAN-17-0344</w:t>
      </w:r>
      <w:r>
        <w:rPr>
          <w:b w:val="0"/>
          <w:i w:val="0"/>
        </w:rPr>
        <w:t>.</w:t>
      </w:r>
    </w:p>
    <w:p>
      <w:r>
        <w:t xml:space="preserve">7. </w:t>
      </w:r>
      <w:r>
        <w:rPr>
          <w:b w:val="0"/>
          <w:i w:val="0"/>
        </w:rPr>
        <w:t>Hou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Assessing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GPT-4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annotation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2024;21:1462–1465.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10.1038/s41592-024-02235-4</w:t>
      </w:r>
      <w:r>
        <w:rPr>
          <w:b w:val="0"/>
          <w:i w:val="0"/>
        </w:rPr>
        <w:t>.</w:t>
      </w:r>
    </w:p>
    <w:p>
      <w:r>
        <w:t xml:space="preserve">8. </w:t>
      </w:r>
      <w:r>
        <w:rPr>
          <w:b w:val="0"/>
          <w:i w:val="0"/>
        </w:rPr>
        <w:t>Nagarajan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SCassist: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assistant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2025;41:btaf402.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10.1093/bioinformatics/btaf402</w:t>
      </w:r>
      <w:r>
        <w:rPr>
          <w:b w:val="0"/>
          <w:i w:val="0"/>
        </w:rPr>
        <w:t>.</w:t>
      </w:r>
    </w:p>
    <w:p>
      <w:r>
        <w:t xml:space="preserve">9. </w:t>
      </w:r>
      <w:r>
        <w:rPr>
          <w:b w:val="0"/>
          <w:i w:val="0"/>
        </w:rPr>
        <w:t>Wang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GeneAgent: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self-verification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gene-set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databases.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2025;22:1677–1685.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10.1038/s41592-025-02748-6</w:t>
      </w:r>
      <w:r>
        <w:rPr>
          <w:b w:val="0"/>
          <w:i w:val="0"/>
        </w:rPr>
        <w:t>.</w:t>
      </w:r>
    </w:p>
    <w:p>
      <w:r>
        <w:t xml:space="preserve">10. </w:t>
      </w:r>
      <w:r>
        <w:rPr>
          <w:b w:val="0"/>
          <w:i w:val="0"/>
        </w:rPr>
        <w:t>Lobentanzer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biomedical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Biotechnol.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2025;43:166–169.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10.1038/s41587-024-02534-3</w:t>
      </w:r>
      <w:r>
        <w:rPr>
          <w:b w:val="0"/>
          <w:i w:val="0"/>
        </w:rPr>
        <w:t>.</w:t>
      </w:r>
    </w:p>
    <w:p>
      <w:r>
        <w:t xml:space="preserve">11. </w:t>
      </w:r>
      <w:r>
        <w:rPr>
          <w:b w:val="0"/>
          <w:i w:val="0"/>
        </w:rPr>
        <w:t>Huang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Biomni: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general-purpose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biomedical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bioRxiv.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10.1101/2025.05.30.656746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［预印本］</w:t>
      </w:r>
    </w:p>
    <w:p>
      <w:r>
        <w:t xml:space="preserve">12. </w:t>
      </w:r>
      <w:r>
        <w:rPr>
          <w:b w:val="0"/>
          <w:i w:val="0"/>
        </w:rPr>
        <w:t>Rue-Albrecht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iSEE: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Interactive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SummarizedExperiment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Explorer.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F1000Res.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2018;7:741.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10.12688/f1000research.14966.1</w:t>
      </w:r>
      <w:r>
        <w:rPr>
          <w:b w:val="0"/>
          <w:i w:val="0"/>
        </w:rPr>
        <w:t>.</w:t>
      </w:r>
    </w:p>
    <w:p>
      <w:r>
        <w:t xml:space="preserve">13. </w:t>
      </w:r>
      <w:r>
        <w:rPr>
          <w:b w:val="0"/>
          <w:i w:val="0"/>
        </w:rPr>
        <w:t>Posit/tidyverse.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ellmer: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https://ellmer.tidyverse.org/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［软件文档，访问2026-10-04］</w:t>
      </w:r>
    </w:p>
    <w:p>
      <w:r>
        <w:t xml:space="preserve">14. </w:t>
      </w:r>
      <w:r>
        <w:rPr>
          <w:b w:val="0"/>
          <w:i w:val="0"/>
        </w:rPr>
        <w:t>Benjamini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Hochberg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practical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1995;57:289–300.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10.1111/j.2517-6161.1995.tb02031.x</w:t>
      </w:r>
      <w:r>
        <w:rPr>
          <w:b w:val="0"/>
          <w:i w:val="0"/>
        </w:rPr>
        <w:t>.</w:t>
      </w:r>
    </w:p>
    <w:p>
      <w:r>
        <w:t xml:space="preserve">15. </w:t>
      </w:r>
      <w:r>
        <w:rPr>
          <w:b w:val="0"/>
          <w:i w:val="0"/>
        </w:rPr>
        <w:t>Bourgon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Gentleman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filtering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increases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high-throughput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experiments.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2010;107:9546–9551.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10.1073/pnas.0914005107</w:t>
      </w:r>
      <w:r>
        <w:rPr>
          <w:b w:val="0"/>
          <w:i w:val="0"/>
        </w:rPr>
        <w:t>.</w:t>
      </w:r>
    </w:p>
    <w:p>
      <w:r>
        <w:t xml:space="preserve">16.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Consortium.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full-text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life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sciences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innovation.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2015;43:D1042–D1048.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10.1093/nar/gku1061</w:t>
      </w:r>
      <w:r>
        <w:rPr>
          <w:b w:val="0"/>
          <w:i w:val="0"/>
        </w:rPr>
        <w:t>.</w:t>
      </w:r>
    </w:p>
    <w:p>
      <w:r>
        <w:t xml:space="preserve">17. </w:t>
      </w:r>
      <w:r>
        <w:rPr>
          <w:b w:val="0"/>
          <w:i w:val="0"/>
        </w:rPr>
        <w:t>Binns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QuickGO: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web-based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searching.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2009;25:3045–3046.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10.1093/bioinformatics/btp536</w:t>
      </w:r>
      <w:r>
        <w:rPr>
          <w:b w:val="0"/>
          <w:i w:val="0"/>
        </w:rPr>
        <w:t>.</w:t>
      </w:r>
    </w:p>
    <w:p>
      <w:r>
        <w:t xml:space="preserve">18. </w:t>
      </w:r>
      <w:r>
        <w:rPr>
          <w:b w:val="0"/>
          <w:i w:val="0"/>
        </w:rPr>
        <w:t>Gillespie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pathway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2022;50:D687–D692.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10.1093/nar/gkab1028</w:t>
      </w:r>
      <w:r>
        <w:rPr>
          <w:b w:val="0"/>
          <w:i w:val="0"/>
        </w:rPr>
        <w:t>.</w:t>
      </w:r>
    </w:p>
    <w:p>
      <w:r>
        <w:t xml:space="preserve">19. </w:t>
      </w:r>
      <w:r>
        <w:rPr>
          <w:b w:val="0"/>
          <w:i w:val="0"/>
        </w:rPr>
        <w:t>Kanehisa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KEGG: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Kyoto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Encyclopedia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2000;28:27–30.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10.1093/nar/28.1.27</w:t>
      </w:r>
      <w:r>
        <w:rPr>
          <w:b w:val="0"/>
          <w:i w:val="0"/>
        </w:rPr>
        <w:t>.</w:t>
      </w:r>
    </w:p>
    <w:p>
      <w:r>
        <w:t xml:space="preserve">20. </w:t>
      </w:r>
      <w:r>
        <w:rPr>
          <w:b w:val="0"/>
          <w:i w:val="0"/>
        </w:rPr>
        <w:t>UniProt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Consortium.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UniProt: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Universal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Protein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2023;51:D523–D531.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10.1093/nar/gkac1052</w:t>
      </w:r>
      <w:r>
        <w:rPr>
          <w:b w:val="0"/>
          <w:i w:val="0"/>
        </w:rPr>
        <w:t>.</w:t>
      </w:r>
    </w:p>
    <w:p>
      <w:r>
        <w:t xml:space="preserve">21. </w:t>
      </w:r>
      <w:r>
        <w:rPr>
          <w:b w:val="0"/>
          <w:i w:val="0"/>
        </w:rPr>
        <w:t>Wickham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ggplot2: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Elegant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Springer;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10.1007/978-3-319-24277-4</w:t>
      </w:r>
      <w:r>
        <w:rPr>
          <w:b w:val="0"/>
          <w:i w:val="0"/>
        </w:rPr>
        <w:t>.</w:t>
      </w:r>
    </w:p>
    <w:p>
      <w:r>
        <w:t xml:space="preserve">22. </w:t>
      </w:r>
      <w:r>
        <w:rPr>
          <w:b w:val="0"/>
          <w:i w:val="0"/>
        </w:rPr>
        <w:t>Himes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CRISPLD2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cytokine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2014;9:e99625.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10.1371/journal.pone.0099625</w:t>
      </w:r>
      <w:r>
        <w:rPr>
          <w:b w:val="0"/>
          <w:i w:val="0"/>
        </w:rPr>
        <w:t>.</w:t>
      </w:r>
    </w:p>
    <w:p>
      <w:r>
        <w:t xml:space="preserve">23. </w:t>
      </w:r>
      <w:r>
        <w:rPr>
          <w:b w:val="0"/>
          <w:i w:val="0"/>
        </w:rPr>
        <w:t>Law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voom: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precision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weights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unlock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linear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2014;15:R29.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10.1186/gb-2014-15-2-r29</w:t>
      </w:r>
      <w:r>
        <w:rPr>
          <w:b w:val="0"/>
          <w:i w:val="0"/>
        </w:rPr>
        <w:t>.</w:t>
      </w:r>
    </w:p>
    <w:p>
      <w:r>
        <w:t xml:space="preserve">24. </w:t>
      </w:r>
      <w:r>
        <w:rPr>
          <w:b w:val="0"/>
          <w:i w:val="0"/>
        </w:rPr>
        <w:t>10x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PBMCs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Healthy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Donor,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Chromium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v1.1.0.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公开矩阵归档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［公开数据集］</w:t>
      </w:r>
    </w:p>
    <w:p>
      <w:r>
        <w:t xml:space="preserve">25. </w:t>
      </w:r>
      <w:r>
        <w:rPr>
          <w:b w:val="0"/>
          <w:i w:val="0"/>
        </w:rPr>
        <w:t>McInnes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Melville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Manifold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Approximation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Dimension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Reduction.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arXiv.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2018;1802.03426.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https://arxiv.org/abs/1802.03426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［预印本］</w:t>
      </w:r>
    </w:p>
    <w:p>
      <w:r>
        <w:t xml:space="preserve">26. </w:t>
      </w:r>
      <w:r>
        <w:rPr>
          <w:b w:val="0"/>
          <w:i w:val="0"/>
        </w:rPr>
        <w:t>Squair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Confronting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Commun.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2021;12:5692.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10.1038/s41467-021-25960-2</w:t>
      </w:r>
      <w:r>
        <w:rPr>
          <w:b w:val="0"/>
          <w:i w:val="0"/>
        </w:rPr>
        <w:t>.</w:t>
      </w:r>
    </w:p>
    <w:p>
      <w:r>
        <w:t xml:space="preserve">27.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1.44.0.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https://bioconductor.org/packages/3.18/data/experiment/html/ALL.html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［数据包］</w:t>
      </w:r>
    </w:p>
    <w:p>
      <w:r>
        <w:t xml:space="preserve">28.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1.40.0.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https://bioconductor.org/packages/3.18/data/experiment/html/bladderbatch.html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［数据包］</w:t>
      </w:r>
    </w:p>
    <w:p>
      <w:r>
        <w:t xml:space="preserve">29. </w:t>
      </w:r>
      <w:r>
        <w:rPr>
          <w:b w:val="0"/>
          <w:i w:val="0"/>
        </w:rPr>
        <w:t>Zheng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Comprehensive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Pan-Genomic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Characterization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Adrenocortical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Carcinoma.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Cancer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2016;29:723–736.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10.1016/j.ccell.2016.04.002</w:t>
      </w:r>
      <w:r>
        <w:rPr>
          <w:b w:val="0"/>
          <w:i w:val="0"/>
        </w:rPr>
        <w:t>.</w:t>
      </w:r>
    </w:p>
    <w:p>
      <w:r>
        <w:t xml:space="preserve">30. </w:t>
      </w:r>
      <w:r>
        <w:rPr>
          <w:b w:val="0"/>
          <w:i w:val="0"/>
        </w:rPr>
        <w:t>Masuno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Klf15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hyperresponsiveness.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2011;45:642–649.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10.1165/rcmb.2010-0369OC</w:t>
      </w:r>
      <w:r>
        <w:rPr>
          <w:b w:val="0"/>
          <w:i w:val="0"/>
        </w:rPr>
        <w:t>.</w:t>
      </w:r>
    </w:p>
    <w:p>
      <w:pPr>
        <w:pStyle w:val="Heading1"/>
        <w:pageBreakBefore/>
      </w:pPr>
      <w:r>
        <w:rPr>
          <w:b w:val="0"/>
          <w:i w:val="0"/>
        </w:rPr>
        <w:t>图表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相近工具与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的任务和内置能力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417"/>
        <w:gridCol w:w="1474"/>
        <w:gridCol w:w="1531"/>
        <w:gridCol w:w="1757"/>
        <w:gridCol w:w="1134"/>
        <w:gridCol w:w="2324"/>
      </w:tblGrid>
      <w:tr>
        <w:trPr>
          <w:cantSplit/>
          <w:tblHeader/>
        </w:trPr>
        <w:tc>
          <w:tcPr>
            <w:tcW w:type="dxa" w:w="141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工具</w:t>
            </w:r>
          </w:p>
        </w:tc>
        <w:tc>
          <w:tcPr>
            <w:tcW w:type="dxa" w:w="147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主要任务与输入</w:t>
            </w:r>
          </w:p>
        </w:tc>
        <w:tc>
          <w:tcPr>
            <w:tcW w:type="dxa" w:w="153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数值与语言分工</w:t>
            </w:r>
          </w:p>
        </w:tc>
        <w:tc>
          <w:tcPr>
            <w:tcW w:type="dxa" w:w="175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检查/证据重点</w:t>
            </w:r>
          </w:p>
        </w:tc>
        <w:tc>
          <w:tcPr>
            <w:tcW w:type="dxa" w:w="113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离线能力</w:t>
            </w:r>
          </w:p>
        </w:tc>
        <w:tc>
          <w:tcPr>
            <w:tcW w:type="dxa" w:w="232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与本文互补的优势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iSEE [12]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SE/SCE 交互探索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对象驱动图表；不以 LLM 为核心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联动选择、元数据和绘图代码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完整交互探索</w:t>
            </w:r>
          </w:p>
        </w:tc>
        <w:tc>
          <w:tcPr>
            <w:tcW w:type="dxa" w:w="232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成熟可定制面板；BioExplainR 增加显式声明和图源核对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SCassist [8]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Seurat 单细胞工作流指导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R 指标/富集增强 LLM 提示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QC/标准化/聚类建议、注释与富集解释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可用本地 Ollama；仍需模型</w:t>
            </w:r>
          </w:p>
        </w:tc>
        <w:tc>
          <w:tcPr>
            <w:tcW w:type="dxa" w:w="232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端到端单细胞建议；BioExplainR 扩展为跨对象的范围与分项核对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GeneAgent [9]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基因集功能分析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LLM 生成、数据库检索与自验证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生物学功能声明与多数据库支持/反驳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主流程需模型和数据库</w:t>
            </w:r>
          </w:p>
        </w:tc>
        <w:tc>
          <w:tcPr>
            <w:tcW w:type="dxa" w:w="232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深入基因集证据；BioExplainR 从已有数值对象核对统计声明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ellmer [13]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通用 R–LLM 连接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结构化输出、流式及工具调用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由开发者定义工具和检查规则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可接本地 Ollama；仍需模型</w:t>
            </w:r>
          </w:p>
        </w:tc>
        <w:tc>
          <w:tcPr>
            <w:tcW w:type="dxa" w:w="232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广泛模型基础设施；BioExplainR 提供现成生物统计事实与验证契约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GPTCelltype [7]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cluster marker → 细胞类型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marker 提示与模型标签输出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细胞类型注释任务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可先生成提示；注释需模型</w:t>
            </w:r>
          </w:p>
        </w:tc>
        <w:tc>
          <w:tcPr>
            <w:tcW w:type="dxa" w:w="232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专用标注入口；BioExplainR 保留细胞/供体层级及解释范围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BioExplainR（本文）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已有差异/富集/PCA/单细胞/多组学结果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R 全输入 facts；可选模型只组织语言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声明、图源、scope/unit、映射覆盖、方向和依赖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无需模型的事实、解释、检查和报告</w:t>
            </w:r>
          </w:p>
        </w:tc>
        <w:tc>
          <w:tcPr>
            <w:tcW w:type="dxa" w:w="232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完整事实 + 可定位检查 + 科学分母 + 项目溯源的集成审查层</w:t>
            </w:r>
          </w:p>
        </w:tc>
      </w:tr>
    </w:tbl>
    <w:p>
      <w:r>
        <w:rPr>
          <w:b/>
          <w:i w:val="0"/>
          <w:sz w:val="17"/>
        </w:rPr>
        <w:t>表注：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比较依据各工具原论文及官方文档（访问2026-10-08），侧重任务与内置接口。未报告统一条件速度、准确率或成本优劣；第三方可通过扩展组合相关能力。BioExplainR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的优势为上述审查环节的整合，测试仅覆盖本文说明的对象与映射。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的事实约束工作流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1.</w:t>
      </w:r>
      <w:r>
        <w:rPr>
          <w:b/>
          <w:i w:val="0"/>
        </w:rPr>
        <w:t xml:space="preserve"> </w:t>
      </w:r>
      <w:r>
        <w:rPr>
          <w:b/>
          <w:i w:val="0"/>
        </w:rPr>
        <w:t>已有对象到可检查报告。</w:t>
      </w:r>
      <w:r>
        <w:rPr>
          <w:b w:val="0"/>
          <w:i w:val="0"/>
        </w:rPr>
        <w:t>（A）对象→确定性事实→可选语言→分项检查→输出；（B）本地输入与模型载荷边界；（C）独立验证状态；（D）依赖-aware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多结果项目。同一来源和符号一致不构成独立确认。原矢量合图复用自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Figure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1，SHA-256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与来源在资产清单中保留。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候选固定与外部实验初步重复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2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2.</w:t>
      </w:r>
      <w:r>
        <w:rPr>
          <w:b/>
          <w:i w:val="0"/>
        </w:rPr>
        <w:t xml:space="preserve"> </w:t>
      </w:r>
      <w:r>
        <w:rPr>
          <w:b/>
          <w:i w:val="0"/>
        </w:rPr>
        <w:t>从发现来源到外部检验的可追踪案例。</w:t>
      </w:r>
      <w:r>
        <w:rPr>
          <w:b w:val="0"/>
          <w:i w:val="0"/>
        </w:rPr>
        <w:t>（A）完整发现集合与候选固定规则；（B）外部全部数组的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表达值；（C）两个时间点的均值差与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CI，24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小时为主终点；（D）外部实验、单细胞系重复和机制待验证的层级。发现效应为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log2FC，外部效应为发布表达单位，不比较幅度。不同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不证明供体无重叠；本轮未调用在线模型。数值来源：表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与公开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输入。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  <w:numPr>
        <w:numId w:val="0"/>
      </w:numPr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  <w:numPr>
        <w:numId w:val="0"/>
      </w:numPr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  <w:numPr>
        <w:numId w:val="0"/>
      </w:numPr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