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中文论文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v0.9：补充材料</w:t>
      </w:r>
    </w:p>
    <w:p>
      <w:pPr/>
      <w:r>
        <w:rPr>
          <w:b w:val="0"/>
          <w:i w:val="0"/>
        </w:rPr>
        <w:t>2026-10-08</w:t>
      </w:r>
    </w:p>
    <w:p>
      <w:r>
        <w:rPr>
          <w:b w:val="0"/>
          <w:i w:val="0"/>
        </w:rPr>
        <w:t>本补充保留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v0.8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的详细方法及历史结果图表，软件版本与执行日期按原记录标注。S1–S10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是既有方法，S11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为本轮外部发现案例。主稿聚焦四项贡献；本文件并不新增专家或用户评分。参考文献编号与主稿一致。</w:t>
      </w:r>
    </w:p>
    <w:p>
      <w:pPr>
        <w:pStyle w:val="Heading1"/>
      </w:pPr>
      <w:r>
        <w:rPr>
          <w:b w:val="0"/>
          <w:i w:val="0"/>
        </w:rPr>
        <w:t>补充方法</w:t>
      </w:r>
    </w:p>
    <w:p>
      <w:pPr>
        <w:pStyle w:val="Heading2"/>
      </w:pPr>
      <w:r>
        <w:rPr>
          <w:b w:val="0"/>
          <w:i w:val="0"/>
        </w:rPr>
        <w:t>S1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研究设计、版本与评价层级</w:t>
      </w:r>
    </w:p>
    <w:p>
      <w:r>
        <w:rPr>
          <w:b w:val="0"/>
          <w:i w:val="0"/>
        </w:rPr>
        <w:t>研究包含对象接入、数值事实核对、受控机制挑战、模型结构化传递和工程验收五个层级。对象接入评价来源类、维度及设计字段；数值核对比较适配器值与直接源表计算；机制挑战注入事先定义的错误并检查返回状态；模型实验评价显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fact-path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和标量值的传递；工程验收评价安装、传输、页面及下载行为。不同层级使用不同分母，不合并为总体“准确率”。</w:t>
      </w:r>
    </w:p>
    <w:p>
      <w:r>
        <w:rPr>
          <w:b w:val="0"/>
          <w:i w:val="0"/>
        </w:rPr>
        <w:t>当前平台为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0.4.0.9000，运行环境为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Ubuntu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24.04.4、R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4.3.3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Bioconductor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3.18。模型规模实验及五数据集保存结果产生于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0.3.1；本稿离线回读这些记录，并另外报告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0.4.0.9000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开发案例、安装包复现和本轮新增场景。版本、命令、UTC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时间、退出码及逐文件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SHA-256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分别进入运行清单。miniACC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和新增场景用于开发应用与工程验证，不标记为冻结的独立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test/gold。</w:t>
      </w:r>
    </w:p>
    <w:p>
      <w:pPr>
        <w:pStyle w:val="Heading2"/>
      </w:pPr>
      <w:r>
        <w:rPr>
          <w:b w:val="0"/>
          <w:i w:val="0"/>
        </w:rPr>
        <w:t>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统一上下文与事实计算流程</w:t>
      </w:r>
    </w:p>
    <w:p>
      <w:r>
        <w:rPr>
          <w:b w:val="0"/>
          <w:i w:val="0"/>
        </w:rPr>
        <w:t>平台首先依据类及接口分派输入。已测试入口包含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DESeqResults、MArrayLM、TopTags、SummarizedExperiment、SingleCellExperiment、SeuratObject、ExpressionSet、MultiAssayExperiment、prcomp、ggplot，以及符合约定的结果表；其余接口支持范围以安装帮助和数据契约为准。真实来源类可记录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verified_class，用户声明的来源记录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user_declared；列名推测不提升为来源已确认。多系数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拟合要求明确所选系数。</w:t>
      </w:r>
    </w:p>
    <w:p>
      <w:r>
        <w:rPr>
          <w:b w:val="0"/>
          <w:i w:val="0"/>
        </w:rPr>
        <w:t>适配后的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bio_context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包含分析类型、来源类与软件包、来源状态、确定性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facts、有限顶部预览、参数、图形映射和不确定性。当前契约进一步保存研究范围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scope、设计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design、事实描述符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fact_descriptors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和上下文标识。scope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记录数据集、比较、物种、组织、模态与观测层级；design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可记录独立单位、分子/分母和配对方式；描述符为事实标明特征、单位、来源路径、计算规则及完整性。软件能检查被明确提供的信息，不会从缺失字段补造研究设计。</w:t>
      </w:r>
    </w:p>
    <w:p>
      <w:r>
        <w:rPr>
          <w:b w:val="0"/>
          <w:i w:val="0"/>
        </w:rPr>
        <w:t>完整输入用于适用的确定性计算，有界预览只服务展示。差异表达、富集、PCA、单细胞及多模态适配器生成类型相应的标量或结构化事实。大矩阵的某些诊断采用取样或稀疏摘要，相关检查范围保留于输出，不能由局部检查推断全矩阵均无问题。用于解释的上下文与本地原始对象分开保存，原始表达矩阵、样本映射和坐标不作为默认模型载荷。</w:t>
      </w:r>
    </w:p>
    <w:p>
      <w:pPr>
        <w:pStyle w:val="Heading2"/>
      </w:pPr>
      <w:r>
        <w:rPr>
          <w:b w:val="0"/>
          <w:i w:val="0"/>
        </w:rPr>
        <w:t>S3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阈值、缺失值及显示精度</w:t>
      </w:r>
    </w:p>
    <w:p>
      <w:r>
        <w:rPr>
          <w:b w:val="0"/>
          <w:i w:val="0"/>
        </w:rPr>
        <w:t>对于给定校正阈值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和效应阈值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τ，差异表达筛选集合为：校正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值及效应非缺失、P_adj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α、且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|log2FC|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的特征。上调和下调分别由集合内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log2FC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的正负确定。特征总数、显著数、上下调数、缺失校正值数均从完整提供的结果表计算。阈值使用严格小于/大于；NA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不作零，也不写为未显著的确定结论。</w:t>
      </w:r>
    </w:p>
    <w:p>
      <w:r>
        <w:rPr>
          <w:b w:val="0"/>
          <w:i w:val="0"/>
        </w:rPr>
        <w:t>校正值沿用上游对象的统计流程；若用户明确要求从原始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值计算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BH，平台记录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computed_BH。只有原始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值的表格保留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raw-only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状态，不生成冒充校正显著性的计数。BH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方法参照既有定义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[14]；DESeq2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独立过滤可导致校正值缺失，应结合其来源解释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[1,15]。用于载荷及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请求的数值保留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位序列化精度，文本显示可另行舍入。PCA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方差比例保存计算精度；表、图和正文中的舍入值不用于替代评分参考值。</w:t>
      </w:r>
    </w:p>
    <w:p>
      <w:pPr>
        <w:pStyle w:val="Heading2"/>
      </w:pPr>
      <w:r>
        <w:rPr>
          <w:b w:val="0"/>
          <w:i w:val="0"/>
        </w:rPr>
        <w:t>S4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模型载荷、本地解释与显式预算</w:t>
      </w:r>
    </w:p>
    <w:p>
      <w:r>
        <w:rPr>
          <w:b w:val="0"/>
          <w:i w:val="0"/>
        </w:rPr>
        <w:t>本地模板无需模型连接即可输出数据事实、统计含义、候选生物学解释、不确定性与不能推出的结论。在线模式由用户配置服务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URL、密钥和模型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ID，支持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OpenAI-compatible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Anthropic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Messages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协议。解释入口默认传递完整确定性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facts，并限制顶部预览与其他展示内容；完整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超出显式字符预算时失败并说明原因，当前没有自动全覆盖分块协议。旧接口保留的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bounded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兼容策略与历史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direct_bounded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基线不代表当前默认事实载荷。</w:t>
      </w:r>
    </w:p>
    <w:p>
      <w:r>
        <w:rPr>
          <w:b w:val="0"/>
          <w:i w:val="0"/>
        </w:rPr>
        <w:t>递归载荷策略过滤秘密、路径、样本/细胞标识和私有结构，并对公开证据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URL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做结构化过滤；HTTP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清单区分载荷与实际请求体的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bytes/hash，保留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usage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计数。模型仅根据已提供事实组织文字，不承担完整长表重算，也不会自动执行生成代码。工作台默认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English，可切换简体中文；语言选择不改变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事实和判定规则。</w:t>
      </w:r>
    </w:p>
    <w:p>
      <w:pPr>
        <w:pStyle w:val="Heading2"/>
      </w:pPr>
      <w:r>
        <w:rPr>
          <w:b w:val="0"/>
          <w:i w:val="0"/>
        </w:rPr>
        <w:t>S5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证据检索与分项声明验证</w:t>
      </w:r>
    </w:p>
    <w:p>
      <w:r>
        <w:rPr>
          <w:b w:val="0"/>
          <w:i w:val="0"/>
        </w:rPr>
        <w:t>证据检索由用户显式开启，可连接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Europe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PMC、QuickGO、Reactome、KEGG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UniProt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[16–20]。证据对象保留来源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ID、标题、URL、访问时间、提供方式、scope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与角色。检索命中、数据库注释、候选支持关系与专家确认是不同状态；平台不把题名命中自动当作论断已获支持。</w:t>
      </w:r>
    </w:p>
    <w:p>
      <w:r>
        <w:rPr>
          <w:b w:val="0"/>
          <w:i w:val="0"/>
        </w:rPr>
        <w:t>显式声明验证接收上下文、声明及给定证据集合，检查事实路径、值类型、数值、方向、单位和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scope。历史机制实验使用非零参考值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  <w:vertAlign w:val="superscript"/>
        </w:rPr>
        <w:t>-6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相对容差，参考为零时使用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  <w:vertAlign w:val="superscript"/>
        </w:rPr>
        <w:t>-6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绝对容差，字符串精确匹配；有界顶部表路径对应保存的预览值。当前类型化声明及证据关系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findings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参与总体状态，旧兼容判定单独保留。不存在值或范围不足时为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partial/unverified，而非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pass。引用闭集检查只判断引用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是否来自已提供集合，不证明文章支持论断；未声明自由文本不因数值通过而获得整体认证。</w:t>
      </w:r>
    </w:p>
    <w:p>
      <w:pPr>
        <w:pStyle w:val="Heading2"/>
      </w:pPr>
      <w:r>
        <w:rPr>
          <w:b w:val="0"/>
          <w:i w:val="0"/>
        </w:rPr>
        <w:t>S6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图形、代码记录与修复不变量</w:t>
      </w:r>
    </w:p>
    <w:p>
      <w:r>
        <w:rPr>
          <w:b w:val="0"/>
          <w:i w:val="0"/>
        </w:rPr>
        <w:t>基于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ggplot2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的图形接口提供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PCA、UMAP/已有嵌入、富集气泡图与热图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[21]。图形核对使用明确的源对象：火山图比较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ID/可配对行的效应和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值来源；PCA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比较坐标、方差比例和轴标签；富集图比较条目、比例、Count、颜色和大小。允许预期子集必须显式指定。不能配对或超出支持图层范围时为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not_checkable。判定针对标度和坐标变换前的映射值，不覆盖所有像素、裁剪或人工注释。</w:t>
      </w:r>
    </w:p>
    <w:p>
      <w:r>
        <w:rPr>
          <w:b w:val="0"/>
          <w:i w:val="0"/>
        </w:rPr>
        <w:t>用户代码通过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bio_record_code()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保存状态、警告、错误现场调用栈、对象摘要和软件调用表达式。显式提交的修复代码在独立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进程执行，并核对预先指定的类型、行数或因子水平等不变量；未设置不变量时仅记录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runtime_only。独立进程分隔会话状态，但不是操作系统沙箱。本文分别保存可运行且保持参照水平、可运行但反转参照水平的挑战，评价“可运行”与“满足指定条件”的区别。</w:t>
      </w:r>
    </w:p>
    <w:p>
      <w:pPr>
        <w:pStyle w:val="Heading2"/>
      </w:pPr>
      <w:r>
        <w:rPr>
          <w:b w:val="0"/>
          <w:i w:val="0"/>
        </w:rPr>
        <w:t>S7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多模态覆盖、依赖及明确方向关系</w:t>
      </w:r>
    </w:p>
    <w:p>
      <w:r>
        <w:rPr>
          <w:b w:val="0"/>
          <w:i w:val="0"/>
        </w:rPr>
        <w:t>样本映射使用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modality、source_id、biological_unit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三个必需字段，并显式记录技术重复角色。验证器重新核对已构造映射，拒绝缺失/重复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observed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ID，将观测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与映射双侧比较；完整病例集合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primary_units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提供共同分母。输出包括每模态观测/缺失病例、两两交集、全部模态完整病例与未测量病例。映射的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仅说明被核对的对应关系合法，不能解释为所有病例均测齐。</w:t>
      </w:r>
    </w:p>
    <w:p>
      <w:r>
        <w:rPr>
          <w:b w:val="0"/>
          <w:i w:val="0"/>
        </w:rPr>
        <w:t>项目依赖图区分原始来源和派生结果，拒绝循环和未知依赖。方向关系验证针对显式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from/to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事实、共有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feature_id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与预期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same/opposite；先核对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set/comparison/species/tissue/sample_level、分子/分母及特征身份，再比较有限非零效应的符号。零效应或缺失科学范围不自动通过。两种效应可以具有不同量纲，因此这里仅比较符号，不比较绝对幅度；同向也不代表双方显著、机制一致、因果或独立确认。</w:t>
      </w:r>
    </w:p>
    <w:p>
      <w:pPr>
        <w:pStyle w:val="Heading2"/>
      </w:pPr>
      <w:r>
        <w:rPr>
          <w:b w:val="0"/>
          <w:i w:val="0"/>
        </w:rPr>
        <w:t>S8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公开案例及预处理</w:t>
      </w:r>
    </w:p>
    <w:p>
      <w:r>
        <w:rPr>
          <w:b/>
          <w:i w:val="0"/>
        </w:rPr>
        <w:t>airway：配对转录组及阈值敏感性。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1.22.0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的人气道平滑肌地塞米松数据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GSE52778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[22]。保留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rowSums(counts)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的基因，以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~ cell + 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设计拟合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1.42.0，设置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为参照，比较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untrt；主阈值为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P_adj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0.05、|log2FC|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1，未执行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LFC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shrinkage。效应阈值是结果筛选条件，不是“效应超过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1”的原假设检验。PCA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VST(blind=FALSE)，选择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个最高方差非恒定特征，中心化、不标准化。limma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voom/经验贝叶斯与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edgeR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准似然流程使用相同过滤和设计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[2,3,23]，各自结果不要求与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显著数相同。本轮从保存的真实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DESeqResults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回读，在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α∈{0.01,0.05,0.10}、τ∈{0,1,2}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九组条件下独立重算五项全表事实（补充表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S2）。</w:t>
      </w:r>
    </w:p>
    <w:p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Reactome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使用带哈希的映射快照，保留人类且位于差异表内的基因；以有注释基因为背景，筛选大小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10–500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的通路，做超几何检验并对全部检验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校正。对象接入和解释不把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ORA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显著性直接称作通路激活。</w:t>
      </w:r>
    </w:p>
    <w:p>
      <w:r>
        <w:rPr>
          <w:b/>
          <w:i w:val="0"/>
        </w:rPr>
        <w:t>PBMC3k：单细胞与独立观测单位。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Genomics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公开过滤矩阵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[24]，保存每细胞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UMI、检测基因和线粒体比例。SCE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SeuratObject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对象均使用同一矩阵及单供体信息。表达按每细胞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10,000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缩放后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log1p，选择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个最高方差特征作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PCA，再由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uwot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0.1.16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生成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UMAP，种子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20261004，单线程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[25]。保留全部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2,700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个细胞，线粒体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仅用于图示分组，不实施细胞类型准确率评价或供体间差异推断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[26]。本轮重新核对保存的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是否同时保留细胞数和供体数。</w:t>
      </w:r>
    </w:p>
    <w:p>
      <w:r>
        <w:rPr>
          <w:b/>
          <w:i w:val="0"/>
        </w:rPr>
        <w:t>pasilla、ALL</w:t>
      </w:r>
      <w:r>
        <w:rPr>
          <w:b/>
          <w:i w:val="0"/>
        </w:rPr>
        <w:t xml:space="preserve"> </w:t>
      </w:r>
      <w:r>
        <w:rPr>
          <w:b/>
          <w:i w:val="0"/>
        </w:rPr>
        <w:t>与</w:t>
      </w:r>
      <w:r>
        <w:rPr>
          <w:b/>
          <w:i w:val="0"/>
        </w:rPr>
        <w:t xml:space="preserve"> </w:t>
      </w:r>
      <w:r>
        <w:rPr>
          <w:b/>
          <w:i w:val="0"/>
        </w:rPr>
        <w:t>bladderbatch：补充来源和设计字段。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1.30.0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~ type + condition</w:t>
      </w:r>
      <w:r>
        <w:rPr>
          <w:b w:val="0"/>
          <w:i w:val="0"/>
        </w:rPr>
        <w:t>，比较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treated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untreated；沿用保存的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α∈{0.01,0.05,0.10}、τ∈{0,1}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六组阈值、五事实核对（补充表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S3）。它未参与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airway/PBMC3k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初始开发，但这里只评价数值摘要，不是独立模型解释质量。ALL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bladderbatch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使用固定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Bioconductor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归档的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ExpressionSet，检查维度、分组、表型和批次字段，不重拟合差异模型或实施批次校正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[27,28]。</w:t>
      </w:r>
    </w:p>
    <w:p>
      <w:r>
        <w:rPr>
          <w:b/>
          <w:i w:val="0"/>
        </w:rPr>
        <w:t>miniACC：多组学覆盖与方向关系。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MultiAssayExperiment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1.28.0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内置的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TCGA-ACC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缩减对象，原研究出处和对象组织方法分别见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[6,29]。数据包含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个病例和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RNA、拷贝数、RPPA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蛋白、突变、miRNA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五模态。本轮纳入此前保存的开发分析与实际安装包重跑。先校验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sampleMap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与实验列名，再以全部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个病例为分母统计覆盖。在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RNA/蛋白均有测量且分期已知的病例中，stage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I/II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early，III/IV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late；按共有行名选特征，RNA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log2(归一化表达+1)，蛋白保留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RPPA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标准化值。每模态效应为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mean(late)−mean(early)，Wilcoxon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秩和检验使用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exact=FALSE、correct=TRUE，BH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在各模态的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特征内分别计算（补充表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S4、补充表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S5）。这不是配对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early/late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的检验：配对指同一病例同时具有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与蛋白，分期组之间是不同病例。分期未随机化，未调整年龄、肿瘤纯度或分子亚型；缩减对象的选择范围不支持新的临床结论。</w:t>
      </w:r>
    </w:p>
    <w:p>
      <w:pPr>
        <w:pStyle w:val="Heading2"/>
      </w:pPr>
      <w:r>
        <w:rPr>
          <w:b w:val="0"/>
          <w:i w:val="0"/>
        </w:rPr>
        <w:t>S9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历史输入消融、双模型及评分规则</w:t>
      </w:r>
    </w:p>
    <w:p>
      <w:r>
        <w:rPr>
          <w:b w:val="0"/>
          <w:i w:val="0"/>
        </w:rPr>
        <w:t>历史主消融使用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个可复现程序案例：差异表达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30、富集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20、PCA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20、SCE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20、细胞组成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15、generic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15；每案例四个标量目标，共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个唯一目标。比较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direct_bounded（有限原始预览）、facts_only（R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全输入计算事实）和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facts_evidence（同一事实加保存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Europe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PMC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记录）。三方法各重复三轮，共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1,080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实际请求、4,320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逐事实评分；每方法分母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1,440。参考事实从完整源对象计算，不使用模型响应。</w:t>
      </w:r>
    </w:p>
    <w:p>
      <w:r>
        <w:rPr>
          <w:b w:val="0"/>
          <w:i w:val="0"/>
        </w:rPr>
        <w:t>DeepSeek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deepseek-flash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请求采用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OpenAI-compatible、temperature=0、thinking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disabled、JSON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mode、5,000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输出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上限、120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秒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timeout，瞬时错误最多重试一次。direct_bounded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允许无法判断时返回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ull；它是信息受限基线，不是代码执行代理。匹配率=匹配目标/全部目标，覆盖率=已回答标量/全部目标，已回答准确率=匹配/已回答。未回答记为未完成，不填补。重复共享输入与目标，只作描述性统计，不当作独立生物数据推断。</w:t>
      </w:r>
    </w:p>
    <w:p>
      <w:r>
        <w:rPr>
          <w:b w:val="0"/>
          <w:i w:val="0"/>
        </w:rPr>
        <w:t>双模型共同任务使用相同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120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案例和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目标，StepFun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step-5-preview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DeepSeek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deepseek-flash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各调用一轮，temperature=0、最多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输出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token，最终均关闭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response_format=json_object。输入、提示、预算和评分相同，提示要求完整精度小数复制。模型别名无不可变快照，跨时间确定性未获保证。本轮只核对保存响应，不新增在线请求（补充表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S6、补充表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S7）。相关工具的保存入口检查涉及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iSEE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SCE/UMAP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浏览器、GPTCelltype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marker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到提示、ellmer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与本平台的响应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replay；这些不是完整共同任务性能排名。</w:t>
      </w:r>
    </w:p>
    <w:p>
      <w:pPr>
        <w:pStyle w:val="Heading2"/>
      </w:pPr>
      <w:r>
        <w:rPr>
          <w:b w:val="0"/>
          <w:i w:val="0"/>
        </w:rPr>
        <w:t>S10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机制挑战、新增场景与工程复现</w:t>
      </w:r>
    </w:p>
    <w:p>
      <w:r>
        <w:rPr>
          <w:b w:val="0"/>
          <w:i w:val="0"/>
        </w:rPr>
        <w:t>历史声明挑战在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个事实加证据响应中分别注入错误数字、未知路径、向量值、未知引用及仅路径无值声明，共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项；移除验证器记为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unchecked。图形挑战为三张正确图与六种注入错误；修复挑战为保持/反转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参照水平的两段可运行代码。</w:t>
      </w:r>
    </w:p>
    <w:p>
      <w:r>
        <w:rPr>
          <w:b w:val="0"/>
          <w:i w:val="0"/>
        </w:rPr>
        <w:t>本轮新脚本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research/paper_cn/run_cases.R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从保存公开对象和手算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fixture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执行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个场景（补充表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S8）：阈值核对、单供体保留、正确/错误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PCA、raw-only、完整事实超预算、合法但不完整的映射、观测未映射、病例越界、正确/错误跨模态关系、反转比较、范围缺失以及工作台项目分派。每项事先写明预期状态；错误注入标明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controlled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mutation，不作为自然发生率估计。</w:t>
      </w:r>
    </w:p>
    <w:p>
      <w:r>
        <w:rPr>
          <w:b w:val="0"/>
          <w:i w:val="0"/>
        </w:rPr>
        <w:t>工程检查包括源码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testthat、构建包检查、真实安装及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Imports-only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smoke、历史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名称/位置参数、两种协议的实际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HTTP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bytes/hash、浏览器桌面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1440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与移动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390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像素视口，以及独立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bwrap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边界探针。浏览器以真实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项目检查覆盖、方向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findings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和报告回读，并下载实际生成的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PDF。不同连接各有独立工作区，但仍共享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R/文件/网络权限；bwrap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的独立探针不能用于宣称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Shiny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为多租户沙箱。Python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独立实现从保存长表重算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个效应、符号、覆盖和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BH，未独立重算原始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Wilcoxon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值或从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RDS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解码原矩阵（补充表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S9）。</w:t>
      </w:r>
    </w:p>
    <w:p>
      <w:pPr>
        <w:pStyle w:val="Heading2"/>
      </w:pPr>
      <w:r>
        <w:rPr>
          <w:b w:val="0"/>
          <w:i w:val="0"/>
        </w:rPr>
        <w:t>S11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候选固定、外部实验及独立实现复核</w:t>
      </w:r>
    </w:p>
    <w:p>
      <w:r>
        <w:rPr>
          <w:b w:val="0"/>
          <w:i w:val="0"/>
        </w:rPr>
        <w:t>日期：2026-10-08。此方案在读取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GSE34313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的候选基因表达值、拟合或检验前固定；GEO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元数据、原论文和平台注释已用于核实可用性与分析单位，不能称为预注册或完全盲法。</w:t>
      </w:r>
    </w:p>
    <w:p>
      <w:pPr>
        <w:pStyle w:val="Heading2"/>
      </w:pPr>
      <w:r>
        <w:rPr>
          <w:b w:val="0"/>
          <w:i w:val="0"/>
        </w:rPr>
        <w:t>候选和可证伪问题</w:t>
      </w:r>
    </w:p>
    <w:p>
      <w:r>
        <w:rPr>
          <w:b w:val="0"/>
          <w:i w:val="0"/>
        </w:rPr>
        <w:t>发现来源为已保存的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GSE52778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DESeq2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全结果（4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供体、8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文库，</w:t>
      </w:r>
      <w:r>
        <w:rPr>
          <w:rFonts w:ascii="DejaVu Sans Mono" w:hAnsi="DejaVu Sans Mono"/>
          <w:b w:val="0"/>
          <w:i w:val="0"/>
          <w:sz w:val="18"/>
        </w:rPr>
        <w:t>~ cell + dex</w:t>
      </w:r>
      <w:r>
        <w:rPr>
          <w:b w:val="0"/>
          <w:i w:val="0"/>
        </w:rPr>
        <w:t>，trt/untrt）。在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padj &lt; 0.05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且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log2FoldChange &gt; 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的集合中按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升序、feature_id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升序选择第一个特征；不按验证结果替换候选。当前选中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ENSG00000152583，Ensembl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官方记录映射为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SPARCL1。</w:t>
      </w:r>
    </w:p>
    <w:p>
      <w:r>
        <w:rPr>
          <w:b w:val="0"/>
          <w:i w:val="0"/>
        </w:rPr>
        <w:t>待验证陈述：</w:t>
      </w:r>
      <w:r>
        <w:rPr>
          <w:b/>
          <w:i w:val="0"/>
        </w:rPr>
        <w:t>SPARCL1</w:t>
      </w:r>
      <w:r>
        <w:rPr>
          <w:b/>
          <w:i w:val="0"/>
        </w:rPr>
        <w:t xml:space="preserve"> </w:t>
      </w:r>
      <w:r>
        <w:rPr>
          <w:b/>
          <w:i w:val="0"/>
        </w:rPr>
        <w:t>在外部人气道平滑肌地塞米松</w:t>
      </w:r>
      <w:r>
        <w:rPr>
          <w:b/>
          <w:i w:val="0"/>
        </w:rPr>
        <w:t xml:space="preserve"> </w:t>
      </w:r>
      <w:r>
        <w:rPr>
          <w:b/>
          <w:i w:val="0"/>
        </w:rPr>
        <w:t>24</w:t>
      </w:r>
      <w:r>
        <w:rPr>
          <w:b/>
          <w:i w:val="0"/>
        </w:rPr>
        <w:t xml:space="preserve"> </w:t>
      </w:r>
      <w:r>
        <w:rPr>
          <w:b/>
          <w:i w:val="0"/>
        </w:rPr>
        <w:t>小时实验中相对未处理上调。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更深入的候选机制是糖皮质激素响应伴随细胞外基质相关表达改变；仅表达重复不能验证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的功能作用或直接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调控。</w:t>
      </w:r>
    </w:p>
    <w:p>
      <w:pPr>
        <w:pStyle w:val="Heading2"/>
      </w:pPr>
      <w:r>
        <w:rPr>
          <w:b w:val="0"/>
          <w:i w:val="0"/>
        </w:rPr>
        <w:t>外部来源与真实独立性</w:t>
      </w:r>
    </w:p>
    <w:p>
      <w:r>
        <w:rPr>
          <w:b w:val="0"/>
          <w:i w:val="0"/>
        </w:rPr>
        <w:t>GSE34313，GPL6480，Masuno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2011，doi:10.1165/rcmb.2010-0369OC。与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GSE52778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为不同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accession、平台及实验；</w:t>
      </w:r>
      <w:r>
        <w:rPr>
          <w:b/>
          <w:i w:val="0"/>
        </w:rPr>
        <w:t>原论文明确微阵列来自一个</w:t>
      </w:r>
      <w:r>
        <w:rPr>
          <w:b/>
          <w:i w:val="0"/>
        </w:rPr>
        <w:t xml:space="preserve"> </w:t>
      </w:r>
      <w:r>
        <w:rPr>
          <w:b/>
          <w:i w:val="0"/>
        </w:rPr>
        <w:t>HASM</w:t>
      </w:r>
      <w:r>
        <w:rPr>
          <w:b/>
          <w:i w:val="0"/>
        </w:rPr>
        <w:t xml:space="preserve"> </w:t>
      </w:r>
      <w:r>
        <w:rPr>
          <w:b/>
          <w:i w:val="0"/>
        </w:rPr>
        <w:t>细胞系（HASM1）</w:t>
      </w:r>
      <w:r>
        <w:rPr>
          <w:b w:val="0"/>
          <w:i w:val="0"/>
        </w:rPr>
        <w:t>，每组重复不是多个独立供体。未提供与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供体逐人对照，故表述为“外部独立实验初步重复”，不声称供体独立队列或临床验证。</w:t>
      </w:r>
    </w:p>
    <w:p>
      <w:r>
        <w:rPr>
          <w:b w:val="0"/>
          <w:i w:val="0"/>
        </w:rPr>
        <w:t>GEO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当前保留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untreated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4、dex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3、dex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24h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个数组；仅使用已发布矩阵，不重新依据结果排除样本。GEO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说明剔除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个样本，正文方法曾写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个技术异常；两处差异原样记录。样本编号尾缀不作为配对供体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ID。</w:t>
      </w:r>
    </w:p>
    <w:p>
      <w:pPr>
        <w:pStyle w:val="Heading2"/>
      </w:pPr>
      <w:r>
        <w:rPr>
          <w:b w:val="0"/>
          <w:i w:val="0"/>
        </w:rPr>
        <w:t>预定分析</w:t>
      </w:r>
    </w:p>
    <w:p>
      <w:r>
        <w:t xml:space="preserve">1. </w:t>
      </w:r>
      <w:r>
        <w:rPr>
          <w:b w:val="0"/>
          <w:i w:val="0"/>
        </w:rPr>
        <w:t>使用完整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gzip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校验的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series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matrix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GPL6480.annot.gz；保留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URL、UTC、bytes、SHA-256，避免使用截断下载。</w:t>
      </w:r>
    </w:p>
    <w:p>
      <w:r>
        <w:t xml:space="preserve">2. </w:t>
      </w:r>
      <w:r>
        <w:rPr>
          <w:b w:val="0"/>
          <w:i w:val="0"/>
        </w:rPr>
        <w:t>全量读取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ID_REF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列值，按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GPL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symbol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精确单符号匹配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SPARCL1；所有匹配探针均公开。多探针时每数组取中位数，不选择最显著探针。</w:t>
      </w:r>
    </w:p>
    <w:p>
      <w:r>
        <w:t xml:space="preserve">3. </w:t>
      </w:r>
      <w:r>
        <w:rPr>
          <w:b w:val="0"/>
          <w:i w:val="0"/>
        </w:rPr>
        <w:t>使用发布的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processed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log-scale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值，不再次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log/quantile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normalization；矩阵约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5–17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的值域与发布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processed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文件的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log2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标注相互核对。若无法核实量纲，效应只称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processed-unit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difference。</w:t>
      </w:r>
    </w:p>
    <w:p>
      <w:r>
        <w:t xml:space="preserve">4. </w:t>
      </w:r>
      <w:r>
        <w:rPr>
          <w:b w:val="0"/>
          <w:i w:val="0"/>
        </w:rPr>
        <w:t>主终点为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mean(dex24h) - mean(untreated)</w:t>
      </w:r>
      <w:r>
        <w:rPr>
          <w:b w:val="0"/>
          <w:i w:val="0"/>
        </w:rPr>
        <w:t>，两侧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Welch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检验，95%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Welch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CI；支持条件为效应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0.05。仅一个预先固定基因和主比较，不将全表候选筛选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值解释为外部验证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值。</w:t>
      </w:r>
    </w:p>
    <w:p>
      <w:r>
        <w:t xml:space="preserve">5. </w:t>
      </w:r>
      <w:r>
        <w:rPr>
          <w:b w:val="0"/>
          <w:i w:val="0"/>
        </w:rPr>
        <w:t>dex4h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为次要描述终点；两个时间点的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校正作为敏感性结果。另对主比较报告所有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C(7,3)=35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组的双侧精确均值差置换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P；该小样本检验仅作敏感性分析。</w:t>
      </w:r>
    </w:p>
    <w:p>
      <w:r>
        <w:t xml:space="preserve">6. </w:t>
      </w:r>
      <w:r>
        <w:rPr>
          <w:b w:val="0"/>
          <w:i w:val="0"/>
        </w:rPr>
        <w:t>Python/SciPy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实际计算；R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使用独立实现从导出测量重算效应、Welch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P/CI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和枚举置换。BioExplainR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接入发现及外部结果、分别保留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dataset/comparison/unit/独立单位，生成离线解释、项目依赖和中英文报告。</w:t>
      </w:r>
    </w:p>
    <w:p>
      <w:r>
        <w:t xml:space="preserve">7. </w:t>
      </w:r>
      <w:r>
        <w:rPr>
          <w:b w:val="0"/>
          <w:i w:val="0"/>
        </w:rPr>
        <w:t>阴性或信息不足均报告，不更换候选、主时间点或阈值。软件状态检查与生物学支持分开记录。</w:t>
      </w:r>
    </w:p>
    <w:p>
      <w:pPr>
        <w:pStyle w:val="Heading2"/>
      </w:pPr>
      <w:r>
        <w:rPr>
          <w:b w:val="0"/>
          <w:i w:val="0"/>
        </w:rPr>
        <w:t>可验证的下一步</w:t>
      </w:r>
    </w:p>
    <w:p>
      <w:r>
        <w:rPr>
          <w:b w:val="0"/>
          <w:i w:val="0"/>
        </w:rPr>
        <w:t>在新增至少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个独立供体的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ASM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中，用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qPCR/蛋白检测检验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的剂量与时间响应；用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拮抗/敲低区分直接依赖，再用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干预与基质/增殖测量验证功能。此轮不声称已完成这些实验，也不声称首次发现该基因响应。</w:t>
      </w:r>
    </w:p>
    <w:p>
      <w:r>
        <w:rPr>
          <w:b w:val="0"/>
          <w:i w:val="0"/>
        </w:rPr>
        <w:t>外部数值结果见补充表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S10；Python/SciPy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的十项效应/P/CI/置换值及两项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值相符。BioExplainR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生成两个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scope/unit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明确区分的上下文与项目，报告并不把软件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解释为机制成立。</w:t>
      </w:r>
    </w:p>
    <w:p>
      <w:pPr>
        <w:pStyle w:val="Heading1"/>
      </w:pPr>
      <w:r>
        <w:rPr>
          <w:b w:val="0"/>
          <w:i w:val="0"/>
        </w:rPr>
        <w:t>补充结果图</w:t>
      </w:r>
    </w:p>
    <w:p>
      <w:r>
        <w:rPr>
          <w:b w:val="0"/>
          <w:i w:val="0"/>
        </w:rPr>
        <w:t>框架图与各结果合图</w:t>
      </w:r>
    </w:p>
    <w:p>
      <w:r>
        <w:rPr>
          <w:b w:val="0"/>
          <w:i w:val="0"/>
        </w:rPr>
        <w:t>合图按正文引用编号排列。每图由四张独立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使用保持矢量内容的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排版方式组成；补充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的本部分直接嵌入合图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PDF，Word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和网页使用其高分辨率预览。框架图包含原创数据库、图形、网络、校验和报告图标；真实页面截图为位图素材，其余框架/统计元素保留矢量。各合图与子图原件见专用目录。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平台框架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补充图</w:t>
      </w:r>
      <w:r>
        <w:rPr>
          <w:b/>
          <w:i w:val="0"/>
        </w:rPr>
        <w:t xml:space="preserve"> </w:t>
      </w:r>
      <w:r>
        <w:rPr>
          <w:b/>
          <w:i w:val="0"/>
        </w:rPr>
        <w:t>S1.</w:t>
      </w:r>
      <w:r>
        <w:rPr>
          <w:b/>
          <w:i w:val="0"/>
        </w:rPr>
        <w:t xml:space="preserve"> </w:t>
      </w:r>
      <w:r>
        <w:rPr>
          <w:b/>
          <w:i w:val="0"/>
        </w:rPr>
        <w:t>从已有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对象到可追踪解释的</w:t>
      </w:r>
      <w:r>
        <w:rPr>
          <w:b/>
          <w:i w:val="0"/>
        </w:rPr>
        <w:t xml:space="preserve"> </w:t>
      </w:r>
      <w:r>
        <w:rPr>
          <w:b/>
          <w:i w:val="0"/>
        </w:rPr>
        <w:t>BioExplainR</w:t>
      </w:r>
      <w:r>
        <w:rPr>
          <w:b/>
          <w:i w:val="0"/>
        </w:rPr>
        <w:t xml:space="preserve"> </w:t>
      </w:r>
      <w:r>
        <w:rPr>
          <w:b/>
          <w:i w:val="0"/>
        </w:rPr>
        <w:t>框架。</w:t>
      </w:r>
      <w:r>
        <w:rPr>
          <w:b w:val="0"/>
          <w:i w:val="0"/>
        </w:rPr>
        <w:t>（A）以数据库、统计图、网络、校验和文档图标展示对象→确定性事实→可选语言→分项检查→输出流程；（B）本地计算与模型载荷边界，完整标量事实超预算时明确失败；（C）pass、fail、partial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unverified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的独立状态；（D）源队列及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RNA/蛋白派生结果的依赖关系。同一来源的结果不能当作独立确认。合图原件：</w:t>
      </w:r>
      <w:r>
        <w:rPr>
          <w:rFonts w:ascii="DejaVu Sans Mono" w:hAnsi="DejaVu Sans Mono"/>
          <w:b w:val="0"/>
          <w:i w:val="0"/>
          <w:sz w:val="18"/>
        </w:rPr>
        <w:t>figures/composites/Figure_1.pdf</w:t>
      </w:r>
      <w:r>
        <w:rPr>
          <w:b w:val="0"/>
          <w:i w:val="0"/>
        </w:rPr>
        <w:t>；子图：</w:t>
      </w:r>
      <w:r>
        <w:rPr>
          <w:rFonts w:ascii="DejaVu Sans Mono" w:hAnsi="DejaVu Sans Mono"/>
          <w:b w:val="0"/>
          <w:i w:val="0"/>
          <w:sz w:val="18"/>
        </w:rPr>
        <w:t>figures/panels/Figure_1A.pdf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至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Figure_1D.pdf</w:t>
      </w:r>
      <w:r>
        <w:rPr>
          <w:b w:val="0"/>
          <w:i w:val="0"/>
        </w:rPr>
        <w:t>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配对转录组案例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补充图</w:t>
      </w:r>
      <w:r>
        <w:rPr>
          <w:b/>
          <w:i w:val="0"/>
        </w:rPr>
        <w:t xml:space="preserve"> </w:t>
      </w:r>
      <w:r>
        <w:rPr>
          <w:b/>
          <w:i w:val="0"/>
        </w:rPr>
        <w:t>S2.</w:t>
      </w:r>
      <w:r>
        <w:rPr>
          <w:b/>
          <w:i w:val="0"/>
        </w:rPr>
        <w:t xml:space="preserve"> </w:t>
      </w:r>
      <w:r>
        <w:rPr>
          <w:b/>
          <w:i w:val="0"/>
        </w:rPr>
        <w:t>airway</w:t>
      </w:r>
      <w:r>
        <w:rPr>
          <w:b/>
          <w:i w:val="0"/>
        </w:rPr>
        <w:t xml:space="preserve"> </w:t>
      </w:r>
      <w:r>
        <w:rPr>
          <w:b/>
          <w:i w:val="0"/>
        </w:rPr>
        <w:t>的全表统计、配对结构与阈值敏感性。</w:t>
      </w:r>
      <w:r>
        <w:rPr>
          <w:b w:val="0"/>
          <w:i w:val="0"/>
        </w:rPr>
        <w:t>（A）trt/untrt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火山图，主阈值为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P_adj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&lt;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0.05、|log2FC|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&gt;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1，999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个显著特征中上调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519、下调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480；（B）VST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个高方差特征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PCA，PC1/PC2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47.8429%/23.3834%，连接线对应四个供体内的配对文库；（C）九组阈值的显著数轨迹，五事实×九条件均与直接源表相符；（D）DESeq2、limma、edgeR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方法各自的显著数。图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文库不是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独立供体；图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不构成方法优劣排名。原件：</w:t>
      </w:r>
      <w:r>
        <w:rPr>
          <w:rFonts w:ascii="DejaVu Sans Mono" w:hAnsi="DejaVu Sans Mono"/>
          <w:b w:val="0"/>
          <w:i w:val="0"/>
          <w:sz w:val="18"/>
        </w:rPr>
        <w:t>figures/composites/Figure_2.pdf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figures/panels/Figure_2[A-D].pdf</w:t>
      </w:r>
      <w:r>
        <w:rPr>
          <w:b w:val="0"/>
          <w:i w:val="0"/>
        </w:rPr>
        <w:t>。数值来源见表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及数据清单。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单细胞与微阵列案例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补充图</w:t>
      </w:r>
      <w:r>
        <w:rPr>
          <w:b/>
          <w:i w:val="0"/>
        </w:rPr>
        <w:t xml:space="preserve"> </w:t>
      </w:r>
      <w:r>
        <w:rPr>
          <w:b/>
          <w:i w:val="0"/>
        </w:rPr>
        <w:t>S3.</w:t>
      </w:r>
      <w:r>
        <w:rPr>
          <w:b/>
          <w:i w:val="0"/>
        </w:rPr>
        <w:t xml:space="preserve"> </w:t>
      </w:r>
      <w:r>
        <w:rPr>
          <w:b/>
          <w:i w:val="0"/>
        </w:rPr>
        <w:t>细胞、供体和设计字段的分层摘要。</w:t>
      </w:r>
      <w:r>
        <w:rPr>
          <w:b w:val="0"/>
          <w:i w:val="0"/>
        </w:rPr>
        <w:t>（A）PBMC3k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已有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UMAP，以线粒体比例≤5%/&gt;5%着色；（B）线粒体比例分布及展示阈值，未据此排除细胞；（C）2,700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细胞、32,738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特征与单供体的不同层级；（D）ALL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bladderbatch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样本量及表型/批次字段摘要。QC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颜色不是细胞类型，UMAP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不用于推断供体间差异；微阵列摘要不是批次校正结果。原件：</w:t>
      </w:r>
      <w:r>
        <w:rPr>
          <w:rFonts w:ascii="DejaVu Sans Mono" w:hAnsi="DejaVu Sans Mono"/>
          <w:b w:val="0"/>
          <w:i w:val="0"/>
          <w:sz w:val="18"/>
        </w:rPr>
        <w:t>figures/composites/Figure_3.pdf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figures/panels/Figure_3[A-D].pdf</w:t>
      </w:r>
      <w:r>
        <w:rPr>
          <w:b w:val="0"/>
          <w:i w:val="0"/>
        </w:rPr>
        <w:t>。来源见表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数值基准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补充图</w:t>
      </w:r>
      <w:r>
        <w:rPr>
          <w:b/>
          <w:i w:val="0"/>
        </w:rPr>
        <w:t xml:space="preserve"> </w:t>
      </w:r>
      <w:r>
        <w:rPr>
          <w:b/>
          <w:i w:val="0"/>
        </w:rPr>
        <w:t>S4.</w:t>
      </w:r>
      <w:r>
        <w:rPr>
          <w:b/>
          <w:i w:val="0"/>
        </w:rPr>
        <w:t xml:space="preserve"> </w:t>
      </w:r>
      <w:r>
        <w:rPr>
          <w:b/>
          <w:i w:val="0"/>
        </w:rPr>
        <w:t>pasilla</w:t>
      </w:r>
      <w:r>
        <w:rPr>
          <w:b/>
          <w:i w:val="0"/>
        </w:rPr>
        <w:t xml:space="preserve"> </w:t>
      </w:r>
      <w:r>
        <w:rPr>
          <w:b/>
          <w:i w:val="0"/>
        </w:rPr>
        <w:t>独立来源的保存数值核对。</w:t>
      </w:r>
      <w:r>
        <w:rPr>
          <w:b w:val="0"/>
          <w:i w:val="0"/>
        </w:rPr>
        <w:t>（A）保存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PCA；（B）treated/untreated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火山图；（C）主阈值下上调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108、下调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110，共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218；（D）六组阈值的显著数，30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项源表事实均一致。分析设计为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~ type + condition</w:t>
      </w:r>
      <w:r>
        <w:rPr>
          <w:b w:val="0"/>
          <w:i w:val="0"/>
        </w:rPr>
        <w:t>，校正值缺失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5,800；本轮回读保存结果，没有重拟合上游模型。原件：</w:t>
      </w:r>
      <w:r>
        <w:rPr>
          <w:rFonts w:ascii="DejaVu Sans Mono" w:hAnsi="DejaVu Sans Mono"/>
          <w:b w:val="0"/>
          <w:i w:val="0"/>
          <w:sz w:val="18"/>
        </w:rPr>
        <w:t>figures/composites/Figure_4.pdf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figures/panels/Figure_4[A-D].pdf</w:t>
      </w:r>
      <w:r>
        <w:rPr>
          <w:b w:val="0"/>
          <w:i w:val="0"/>
        </w:rPr>
        <w:t>。逐项数据见表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多组学案例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补充图</w:t>
      </w:r>
      <w:r>
        <w:rPr>
          <w:b/>
          <w:i w:val="0"/>
        </w:rPr>
        <w:t xml:space="preserve"> </w:t>
      </w:r>
      <w:r>
        <w:rPr>
          <w:b/>
          <w:i w:val="0"/>
        </w:rPr>
        <w:t>S5.</w:t>
      </w:r>
      <w:r>
        <w:rPr>
          <w:b/>
          <w:i w:val="0"/>
        </w:rPr>
        <w:t xml:space="preserve"> </w:t>
      </w:r>
      <w:r>
        <w:rPr>
          <w:b/>
          <w:i w:val="0"/>
        </w:rPr>
        <w:t>多组学覆盖、方向与显著性的分离展示。</w:t>
      </w:r>
      <w:r>
        <w:rPr>
          <w:b w:val="0"/>
          <w:i w:val="0"/>
        </w:rPr>
        <w:t>（A）92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病例分母下各模态覆盖，灰段为未测量，五模态完整病例为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43；（B）33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共有特征的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与蛋白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late−early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效应，18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同向、15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反向；（C）两模态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校正值，特征按字母顺序，RNA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3/33、蛋白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0/33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通过0.05；（D）46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配对测量病例的分期组，early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28、late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18。RNA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和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RPPA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单位不同，图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只核对符号、不比较效应幅度。分期组不配对、不随机化；同病例跨模态测量和符号一致不建立独立证据或因果。原件：</w:t>
      </w:r>
      <w:r>
        <w:rPr>
          <w:rFonts w:ascii="DejaVu Sans Mono" w:hAnsi="DejaVu Sans Mono"/>
          <w:b w:val="0"/>
          <w:i w:val="0"/>
          <w:sz w:val="18"/>
        </w:rPr>
        <w:t>figures/composites/Figure_5.pdf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figures/panels/Figure_5[A-D].pdf</w:t>
      </w:r>
      <w:r>
        <w:rPr>
          <w:b w:val="0"/>
          <w:i w:val="0"/>
        </w:rPr>
        <w:t>。数值见表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4–5。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模型事实传递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补充图</w:t>
      </w:r>
      <w:r>
        <w:rPr>
          <w:b/>
          <w:i w:val="0"/>
        </w:rPr>
        <w:t xml:space="preserve"> </w:t>
      </w:r>
      <w:r>
        <w:rPr>
          <w:b/>
          <w:i w:val="0"/>
        </w:rPr>
        <w:t>S6.</w:t>
      </w:r>
      <w:r>
        <w:rPr>
          <w:b/>
          <w:i w:val="0"/>
        </w:rPr>
        <w:t xml:space="preserve"> </w:t>
      </w:r>
      <w:r>
        <w:rPr>
          <w:b/>
          <w:i w:val="0"/>
        </w:rPr>
        <w:t>固定目标事实的输入消融与双模型协议结果。</w:t>
      </w:r>
      <w:r>
        <w:rPr>
          <w:b w:val="0"/>
          <w:i w:val="0"/>
        </w:rPr>
        <w:t>（A）三输入总体匹配率；（B）覆盖与已回答准确率；（C）六功能家族匹配率；（D）相同输入下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StepFun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DeepSeek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各匹配480/480。A–C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为120程序案例、480唯一事实、三方法×三重复，共1,080请求与4,320评分；D各模型120请求，不与主消融分母相加。100%是R目标已显式提供后的结构化传递终点，有界raw缺少完整信息；不是自由文本正确率、独立推理或生物学泛化。全部为0.3.1保存记录，本轮没有在线调用。原件：</w:t>
      </w:r>
      <w:r>
        <w:rPr>
          <w:rFonts w:ascii="DejaVu Sans Mono" w:hAnsi="DejaVu Sans Mono"/>
          <w:b w:val="0"/>
          <w:i w:val="0"/>
          <w:sz w:val="18"/>
        </w:rPr>
        <w:t>figures/composites/Figure_6.pdf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figures/panels/Figure_6[A-D].pdf</w:t>
      </w:r>
      <w:r>
        <w:rPr>
          <w:b w:val="0"/>
          <w:i w:val="0"/>
        </w:rPr>
        <w:t>。数据见表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6–7。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受控错误与新增场景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补充图</w:t>
      </w:r>
      <w:r>
        <w:rPr>
          <w:b/>
          <w:i w:val="0"/>
        </w:rPr>
        <w:t xml:space="preserve"> </w:t>
      </w:r>
      <w:r>
        <w:rPr>
          <w:b/>
          <w:i w:val="0"/>
        </w:rPr>
        <w:t>S7.</w:t>
      </w:r>
      <w:r>
        <w:rPr>
          <w:b/>
          <w:i w:val="0"/>
        </w:rPr>
        <w:t xml:space="preserve"> </w:t>
      </w:r>
      <w:r>
        <w:rPr>
          <w:b/>
          <w:i w:val="0"/>
        </w:rPr>
        <w:t>分项验证拒绝明确违例并保留信息不足状态。</w:t>
      </w:r>
      <w:r>
        <w:rPr>
          <w:b w:val="0"/>
          <w:i w:val="0"/>
        </w:rPr>
        <w:t>（A）历史声明72个明确错误fail、18个仅路径partial；（B）3正确图pass、6注入错误fail；（C）本轮15场景按预期返回pass/fail/partial/unverified，合计15/15；（D）参照保持与反转代码均可运行，但仅前者满足不变量。A、B、D为历史机制记录，C为本轮实际运行；数值不合并为自然错误率或一般修复成功率。原件：</w:t>
      </w:r>
      <w:r>
        <w:rPr>
          <w:rFonts w:ascii="DejaVu Sans Mono" w:hAnsi="DejaVu Sans Mono"/>
          <w:b w:val="0"/>
          <w:i w:val="0"/>
          <w:sz w:val="18"/>
        </w:rPr>
        <w:t>figures/composites/Figure_7.pdf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figures/panels/Figure_7[A-D].pdf</w:t>
      </w:r>
      <w:r>
        <w:rPr>
          <w:b w:val="0"/>
          <w:i w:val="0"/>
        </w:rPr>
        <w:t>。新增场景列表见表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8。</w:t>
      </w:r>
    </w:p>
    <w:p>
      <w:pPr>
        <w:pStyle w:val="Heading2"/>
        <w:pageBreakBefore/>
      </w:pPr>
      <w:r>
        <w:rPr>
          <w:b w:val="0"/>
          <w:i w:val="0"/>
        </w:rPr>
        <w:t>补充图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工作台与工程验收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2294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9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</w:rPr>
        <w:t>补充图</w:t>
      </w:r>
      <w:r>
        <w:rPr>
          <w:b/>
          <w:i w:val="0"/>
        </w:rPr>
        <w:t xml:space="preserve"> </w:t>
      </w:r>
      <w:r>
        <w:rPr>
          <w:b/>
          <w:i w:val="0"/>
        </w:rPr>
        <w:t>S8.</w:t>
      </w:r>
      <w:r>
        <w:rPr>
          <w:b/>
          <w:i w:val="0"/>
        </w:rPr>
        <w:t xml:space="preserve"> </w:t>
      </w:r>
      <w:r>
        <w:rPr>
          <w:b/>
          <w:i w:val="0"/>
        </w:rPr>
        <w:t>项目分析到论文图</w:t>
      </w:r>
      <w:r>
        <w:rPr>
          <w:b/>
          <w:i w:val="0"/>
        </w:rPr>
        <w:t xml:space="preserve"> </w:t>
      </w:r>
      <w:r>
        <w:rPr>
          <w:b/>
          <w:i w:val="0"/>
        </w:rPr>
        <w:t>PDF</w:t>
      </w:r>
      <w:r>
        <w:rPr>
          <w:b/>
          <w:i w:val="0"/>
        </w:rPr>
        <w:t xml:space="preserve"> </w:t>
      </w:r>
      <w:r>
        <w:rPr>
          <w:b/>
          <w:i w:val="0"/>
        </w:rPr>
        <w:t>导出的实际工作流。</w:t>
      </w:r>
      <w:r>
        <w:rPr>
          <w:b w:val="0"/>
          <w:i w:val="0"/>
        </w:rPr>
        <w:t>（A）真实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项目的中文桌面页面；（B）同项目移动视口，宽表在容器内滚动；（C）浏览器实际下载的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Cairo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PCA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回读预览，该图为手算工程输入，不是生物数据结果；（D）源码、安装及浏览器的分层检查。截图裁剪自自动化保存页面，未重绘页面。项目展示保留覆盖与方向findings，下载报告使用同一项目；不同浏览器工作区独立仍不等于多租户安全沙箱。原件：</w:t>
      </w:r>
      <w:r>
        <w:rPr>
          <w:rFonts w:ascii="DejaVu Sans Mono" w:hAnsi="DejaVu Sans Mono"/>
          <w:b w:val="0"/>
          <w:i w:val="0"/>
          <w:sz w:val="18"/>
        </w:rPr>
        <w:t>figures/composites/Figure_8.pdf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figures/panels/Figure_8[A-D].pdf</w:t>
      </w:r>
      <w:r>
        <w:rPr>
          <w:b w:val="0"/>
          <w:i w:val="0"/>
        </w:rPr>
        <w:t>。验收范围见表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9。</w:t>
      </w:r>
    </w:p>
    <w:p>
      <w:pPr>
        <w:pStyle w:val="Heading1"/>
      </w:pPr>
      <w:r>
        <w:rPr>
          <w:b w:val="0"/>
          <w:i w:val="0"/>
        </w:rPr>
        <w:t>补充结果表</w:t>
      </w:r>
    </w:p>
    <w:p>
      <w:r>
        <w:rPr>
          <w:b w:val="0"/>
          <w:i w:val="0"/>
        </w:rPr>
        <w:t>外置表格的表题、表注与来源</w:t>
      </w:r>
    </w:p>
    <w:p>
      <w:r>
        <w:rPr>
          <w:b w:val="0"/>
          <w:i w:val="0"/>
        </w:rPr>
        <w:t>本附录仅保留表题和说明，不插入表格数据。补充表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S1–9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的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XLSX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UTF-8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CSV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逐一保存在本稿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目录；每个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XLSX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另含“图表说明与来源”工作表。正文引用使用相同编号。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案例数据、版本与分析边界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列出六个公开数据来源、所测对象/软件版本、规模与各自任务。airway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为8文库/4供体，PBMC3k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为2,700细胞/1供体，miniACC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为92病例；不同观测单位和任务不合并为研究样本量。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data_manifest.json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public_datasets/dataset_tests.json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miniacc_installed_review/summary.json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tables/Table_S1.xlsx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tables/Table_S1.csv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阈值敏感性及适配器核对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α为0.01/0.05/0.10、τ为0/1/2，共九组合，每组合核对特征数、显著数、上/下调数与缺失校正值；45项全部一致。筛选使用P_adj&lt;α与|log2FC|&gt;τ，NA不作零。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paper_cn_cases_v1/airway_threshold_checks.csv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tables/Table_S2.xlsx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tables/Table_S2.csv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独立来源数值事实核对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六阈值组合×五事实=30项，保存适配器值与直接源表值一致。仅评价数值事实，不代表独立模型解释评价；本轮未重拟合pasilla。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related_tools/pasilla_fact_checks.csv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tables/Table_S3.xlsx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tables/Table_S3.csv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模态覆盖及统一分母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每模态观测/缺失病例以完整92病例为共同分母，完全观测43、未观测0。合法映射的pass不表示模态齐全；两个模态的交集另存项目结果。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miniacc_installed_review/modality_coverage.csv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alignment_summary.json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tables/Table_S4.xlsx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tables/Table_S4.csv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miniACC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33特征效应、方向及显著性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46病例（early28/late18）中效应为late均值−early均值；RNA单位为log2(归一化表达+1)，蛋白为原RPPA单位。Wilcoxon使用渐近及连续性校正，BH按各模态33特征分别计算。same/opposite为符号关系，不替代P值、机制或独立证据。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miniacc_installed_review/feature_results.csv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tables/Table_S5.xlsx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tables/Table_S5.csv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保存的主消融实验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每方法360请求、1,440目标评分，总1,080请求/4,320评分。匹配率、覆盖和已回答准确率分母分别为全部目标、全部目标、已回答目标；不把重复当独立生物数据。raw为信息受限基线，facts为目标显式提供后的传递。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main_scale_480/ablation_summary.csv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tables/Table_S6.xlsx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tables/Table_S6.csv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S7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六类功能家族与双模型事实传递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前18行汇总六家族×三方法的主消融；后两行分别为StepFun与DeepSeek单轮的480目标。不同实验分母分开解释，未配置代理和缺失replay不进入API请求数。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main_scale_480/family_summary.csv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common_task_scale_480/common_task_summary.csv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tables/Table_S7.xlsx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tables/Table_S7.csv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新增开发场景的期望状态与实际状态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15场景均按预期；每行标明来源、目的、期望和实际状态。controlled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mutation为人为注入，hand-computable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fixture为手算工程样例，两者均不当作自然生物学样本。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paper_cn_cases_v1/scenario_checks.csv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tables/Table_S8.xlsx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tables/Table_S8.csv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工程验收与复现层级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本轮源码、包和浏览器日志与此前安装/API/miniACC数值复核分别注明。74/74只为历史名称/位置参数，Python复核未独立重算Wilcoxon原始P。工程pass不表示专家、用户或科学泛化结果。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w00_baseline/paper-cn-*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review-*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与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REVIEW_CONTINUATION.md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tables/Table_S9.xlsx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tables/Table_S9.csv</w:t>
      </w:r>
      <w:r>
        <w:rPr>
          <w:b w:val="0"/>
          <w:i w:val="0"/>
          <w:sz w:val="18"/>
        </w:rPr>
        <w:t>。</w:t>
      </w:r>
    </w:p>
    <w:p>
      <w:pPr>
        <w:pStyle w:val="Heading2"/>
      </w:pPr>
      <w:r>
        <w:rPr>
          <w:b w:val="0"/>
          <w:i w:val="0"/>
        </w:rPr>
        <w:t>补充表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SPARCL1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外部实验与重算</w:t>
      </w:r>
    </w:p>
    <w:p>
      <w:r>
        <w:rPr>
          <w:b/>
          <w:i w:val="0"/>
          <w:sz w:val="18"/>
        </w:rPr>
        <w:t>表注：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24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小时为主比较，4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小时为次要比较；两侧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Welch、95%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CI、两个时间点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Holm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值和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35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种分组枚举置换分别提供。培养重复来自同一细胞系，不作为独立供体。</w:t>
      </w:r>
      <w:r>
        <w:rPr>
          <w:b/>
          <w:i w:val="0"/>
          <w:sz w:val="18"/>
        </w:rPr>
        <w:t>来源：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research/results/discovery_sparcl1_v1/validation_results.csv</w:t>
      </w:r>
      <w:r>
        <w:rPr>
          <w:b w:val="0"/>
          <w:i w:val="0"/>
          <w:sz w:val="18"/>
        </w:rPr>
        <w:t>、公开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GEO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输入及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r_numeric_checks.csv</w:t>
      </w:r>
      <w:r>
        <w:rPr>
          <w:b w:val="0"/>
          <w:i w:val="0"/>
          <w:sz w:val="18"/>
        </w:rPr>
        <w:t>。</w:t>
      </w:r>
      <w:r>
        <w:rPr>
          <w:b/>
          <w:i w:val="0"/>
          <w:sz w:val="18"/>
        </w:rPr>
        <w:t>文件：</w:t>
      </w:r>
      <w:r>
        <w:rPr>
          <w:b w:val="0"/>
          <w:i w:val="0"/>
          <w:sz w:val="18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tables/Table_S10.csv</w:t>
      </w:r>
      <w:r>
        <w:rPr>
          <w:b w:val="0"/>
          <w:i w:val="0"/>
          <w:sz w:val="18"/>
        </w:rPr>
        <w:t>、</w:t>
      </w:r>
      <w:r>
        <w:rPr>
          <w:rFonts w:ascii="DejaVu Sans Mono" w:hAnsi="DejaVu Sans Mono"/>
          <w:b w:val="0"/>
          <w:i w:val="0"/>
          <w:sz w:val="18"/>
        </w:rPr>
        <w:t>tables/Table_S10.xlsx</w:t>
      </w:r>
      <w:r>
        <w:rPr>
          <w:b w:val="0"/>
          <w:i w:val="0"/>
          <w:sz w:val="18"/>
        </w:rPr>
        <w:t>。</w:t>
      </w:r>
    </w:p>
    <w:p>
      <w:pPr>
        <w:pStyle w:val="Heading1"/>
      </w:pPr>
      <w:r>
        <w:rPr>
          <w:b w:val="0"/>
          <w:i w:val="0"/>
        </w:rPr>
        <w:t>后续研究与投稿信息</w:t>
      </w:r>
    </w:p>
    <w:p>
      <w:r>
        <w:rPr>
          <w:b w:val="0"/>
          <w:i w:val="0"/>
        </w:rPr>
        <w:t>真实作者、基金、伦理、独立专家评价与人工图稿审阅待负责人确认；用户研究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deferred。DOI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只有归档平台实际签发后填写。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Noto Sans CJK SC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8" w:lineRule="auto"/>
      <w:outlineLvl w:val="0"/>
      <w:numPr>
        <w:numId w:val="0"/>
      </w:numPr>
    </w:pPr>
    <w:rPr>
      <w:rFonts w:ascii="Calibri" w:hAnsi="Calibri" w:eastAsia="Noto Sans CJK SC"/>
      <w:b/>
      <w:bCs/>
      <w:color w:val="2020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  <w:numPr>
        <w:numId w:val="0"/>
      </w:numPr>
    </w:pPr>
    <w:rPr>
      <w:rFonts w:ascii="Calibri" w:hAnsi="Calibri" w:eastAsia="Noto Sans CJK SC"/>
      <w:b/>
      <w:bCs/>
      <w:color w:val="20202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  <w:numPr>
        <w:numId w:val="0"/>
      </w:numPr>
    </w:pPr>
    <w:rPr>
      <w:rFonts w:ascii="Calibri" w:hAnsi="Calibri" w:eastAsia="Noto Sans CJK SC"/>
      <w:b/>
      <w:bCs/>
      <w:color w:val="2020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numPr>
        <w:numId w:val="0"/>
      </w:numPr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numPr>
        <w:numId w:val="0"/>
      </w:numPr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numPr>
        <w:numId w:val="0"/>
      </w:numPr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numPr>
        <w:numId w:val="0"/>
      </w:numPr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8" w:lineRule="auto"/>
      <w:contextualSpacing/>
    </w:pPr>
    <w:rPr>
      <w:rFonts w:ascii="Calibri" w:hAnsi="Calibri" w:eastAsia="Noto Sans CJK SC"/>
      <w:color w:val="20202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Calibri" w:hAnsi="Calibri" w:eastAsia="Noto Sans CJK SC"/>
      <w:i/>
      <w:iCs/>
      <w:color w:val="20202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