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BioExplainR 生物学发现结果：稳健激素响应与PER2时间依赖线索</w:t>
      </w:r>
    </w:p>
    <w:p>
      <w:r>
        <w:t>2026-10-09｜公共数据探索重分析｜固定12候选｜54基因稳健响应集</w:t>
      </w:r>
    </w:p>
    <w:p>
      <w:pPr>
        <w:pStyle w:val="Heading1"/>
      </w:pPr>
      <w:r>
        <w:t>核心结果</w:t>
      </w:r>
    </w:p>
    <w:p>
      <w:r>
        <w:t>本轮实际筛查27,409个基因，得到54个在四种TNFα／CEBPD敲低背景保留的布地奈德响应基因。固定排名前12个后，再读取外部候选数据；11个可测基因在排除已知重叠的13供体中全部重复，t检验与精确符号翻转均通过48项Holm校正。第12个LINC00607缺外部注释，保留不可估计，未换候选。</w:t>
      </w:r>
    </w:p>
    <w:p>
      <w:r>
        <w:t>最值得继续验证的新增整合线索是PER2：18 h/24 h成人ASM下调，A549 2 h上调且受GR药物干预削弱，18 h时回落。直接时间差在两个实验中均通过校正。可支持“时间／实验环境依赖的PER2响应”，不能直接解释为组织特异或昼夜节律功能损伤。</w:t>
      </w:r>
    </w:p>
    <w:p>
      <w:r>
        <w:t>第二组实测线索是METTL7A和MAOA的稳定上调及较晚时点的进一步增加；ANGPTL2、FSTL3提供相反方向的细胞外信号候选。该表只支持转录响应，蛋白、信号和功能尚不能由表达替代。</w:t>
      </w:r>
    </w:p>
    <w:p>
      <w:r>
        <w:t>表1：全部固定12候选。外部效应为log2(TPM+1)配对差，与发现log2FC采用不同尺度；缺测保留原48项分母。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基因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四背景log2FC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13供体效应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95%CI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Holm 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供体方向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-2.818 至 -2.217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-2.082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-2.324 至 -1.839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1.24e-08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0↑ / 13↓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ANGPTL2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-1.162 至 -1.038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-0.869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-1.131 至 -0.608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0.000303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0↑ / 13↓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LINC00607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1.067 至 1.517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不可估计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不可估计 至 不可估计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未测得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-1.526 至 -0.926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-0.796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-1.034 至 -0.558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0.000295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0↑ / 13↓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METTL7A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0.864 至 1.038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2.044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1.896 至 2.193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5.31e-11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13↑ / 0↓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TSC22D3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1.154 至 1.268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4.206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4.066 至 4.347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5.41e-15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13↑ / 0↓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FSTL3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0.765 至 0.868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1.414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1.211 至 1.617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1.34e-07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13↑ / 0↓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GCNT1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0.742 至 1.059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0.690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0.340 至 1.040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12↑ / 1↓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MAOA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1.490 至 1.708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2.561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2.413 至 2.710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3.7e-12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13↑ / 0↓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ZBTB16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7.130 至 8.672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3.664 至 4.599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9.05e-09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13↑ / 0↓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FKBP5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1.962 至 2.497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4.499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4.298 至 4.700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1.71e-13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13↑ / 0↓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-2.108 至 -1.441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-0.915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-1.048 至 -0.782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1.55e-07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0↑ / 13↓</w:t>
            </w:r>
          </w:p>
        </w:tc>
      </w:tr>
    </w:tbl>
    <w:p>
      <w:pPr>
        <w:pStyle w:val="Heading1"/>
      </w:pPr>
      <w:r>
        <w:t>数据与固定分析流程</w:t>
      </w:r>
    </w:p>
    <w:p>
      <w:r>
        <w:t>发现集GSE146017：4供体／31文库，~ donor + kd * bud * tnf；保留原DESeq2模型、过滤、size factors及dispersion。另从原计数运行edgeR TMM、limma voom/eBayes，四背景simple effects各自全family BH。候选需baseMean≥10、四条件绝对log2FC≥0.5、两模型显著同向、每可用供体方向一致、四次留一供体方向一致；按最弱绝对Wald stat排序。</w:t>
      </w:r>
    </w:p>
    <w:p>
      <w:r>
        <w:t>外部GSE94335：原Table E1核实配对，维持28793/28796排除；再排除N010912、N051911、N061311，剩13供体（4非哮喘、9致死性哮喘）。汇总每基因所有转录本TPM，以log2(TPM+1)计算供体配对差。12基因×合并／两病组／组差4项，共48项Holm；缺测P=1纳入分母。保存8192/512/16符号翻转、715组枚举及0.1/0.5/1伪计数敏感性。</w:t>
      </w:r>
    </w:p>
    <w:p>
      <w:r>
        <w:t>机制GSE229084：原47文库／4批次A549模型，固定表达过滤。12候选×DEX及3药物交互为48项Holm，精确逐基因WLS协方差和原moderated方差/df。时间增补在初步结果后制定：单HASM1 GSE34313 DEX 4 h/24 h、A549 DEX 18 h及直接时间差；均标记探索性，未把追加分析写为初始预定检验。</w:t>
      </w:r>
    </w:p>
    <w:p>
      <w:pPr>
        <w:pStyle w:val="Heading1"/>
      </w:pPr>
      <w:r>
        <w:t>发现一：PER2/PER3的晚期抑制与PER2暂态诱导</w:t>
      </w:r>
    </w:p>
    <w:p>
      <w:r>
        <w:t>PER2在发现四背景log2FC −2.108至−1.441；外部13/13供体下调，平均log2(TPM+1)差−0.915（95%CI −1.048至−0.782，Holm P=1.55×10⁻⁷，精确Holm P=0.0117）。PER3同样13/13下调，外部效应−2.082（CI −2.324至−1.839，Holm P=1.24×10⁻⁸）。两个基因的供体方向在三种伪计数和全部留一供体中保持。</w:t>
      </w:r>
    </w:p>
    <w:p>
      <w:r>
        <w:t>HASM1中PER2在4 h接近零，24 h为−1.656（24检验Holm P=1.24×10⁻⁴）；直接24 h−4 h为−1.651（95%CI −1.997至−1.305，24检验Holm P=0.0139）。PER3直接时间差−1.412（Holm P=0.0195）。培养重复的小样本置换在全family校正后不能确认这些时间结果，因此此段是参数模型支持的探索性追踪。</w:t>
      </w:r>
    </w:p>
    <w:p>
      <w:r>
        <w:t>A549 PER2 DEX 2 h +1.092（CI 0.860至1.323，48检验Holm P=5.71×10⁻¹⁰）；KH-103/MIF/Cort113交互分别−0.935/−0.972/−0.922，Holm P均&lt;4.05×10⁻⁵。DEX 18 h效应+0.175、Holm P=0.442；直接18 h−2 h为−0.917（CI −1.124至−0.710，24检验Holm P=1.45×10⁻⁹）。这揭示暂态与长期效应的混杂，尚不能区分时间、药物、剂量、培养环境和细胞类型。</w:t>
      </w:r>
    </w:p>
    <w:p>
      <w:r>
        <w:t>表2：PER2精确WLS。2 h及交互使用48项family，18 h为探索增补12项family。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sz w:val="16"/>
              </w:rPr>
              <w:t>PER2对比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效应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95%CI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Holm P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A549 DEX 2 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1.092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0.860 至 1.323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5.71e-10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DEX×KH-103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-0.935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-1.255 至 -0.615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2.98e-05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DEX×MIF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-0.972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-1.293 至 -0.652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1.49e-05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DEX×Cort113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-0.922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-1.244 至 -0.601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4.04e-05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A549 DEX 18 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0.175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-0.065 至 0.415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0.442</w:t>
            </w:r>
          </w:p>
        </w:tc>
      </w:tr>
    </w:tbl>
    <w:p>
      <w:r>
        <w:t>表3：直接晚−早差；同一24项Holm family，单位为各实验原log尺度，不跨实验合并。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基因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实验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时间差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效应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95%CI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Holm 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 h−4 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-1.412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-1.918 至 -0.906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0.0195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A549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 h−2 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-0.389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-0.784 至 0.005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0.423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METTL7A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 h−4 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1.231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0.912 至 1.550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0.00799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METTL7A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A549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 h−2 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2.026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1.577 至 2.474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9.01e-10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MAOA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 h−4 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2.889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2.376 至 3.402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0.0028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MAOA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A549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 h−2 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2.364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2.107 至 2.621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3.52e-19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 h−4 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-1.651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-1.997 至 -1.305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0.0139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PER2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A549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18 h−2 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-0.917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-1.124 至 -0.710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1.45e-09</w:t>
            </w:r>
          </w:p>
        </w:tc>
      </w:tr>
    </w:tbl>
    <w:p>
      <w:pPr>
        <w:pStyle w:val="Heading1"/>
      </w:pPr>
      <w:r>
        <w:t>发现二：可重复的非经典候选</w:t>
      </w:r>
    </w:p>
    <w:p>
      <w:r>
        <w:t>METTL7A在外部13/13供体上调，效应+2.044（CI 1.896至2.193，Holm P=5.31×10⁻¹¹）；MAOA同样13/13上调，+2.561（CI 2.413至2.710，Holm P=3.70×10⁻¹²）。两个基因在HASM1 24 h和A549 18 h均上调，其直接晚−早时间差在两个模型中均通过24项Holm，提示较晚表达累积值得研究。其GR药物交互未通过48项Holm，不能宣称已验证受体依赖。</w:t>
      </w:r>
    </w:p>
    <w:p>
      <w:r>
        <w:t>ANGPTL2在外部13/13供体下调（−0.869，Holm P=0.000303），HASM1 24 h亦下调；A549未通过原表达过滤。FSTL3在外部13/13上调（+1.414，Holm P=1.34×10⁻⁷），A549 DEX 2 h/18 h上调；HASM1 24 h与GR交互未通过各自Holm。可提出细胞外信号响应候选，不能将ANGPTL2与FSTL3直接拼接为已验证的功能通路。</w:t>
      </w:r>
    </w:p>
    <w:p>
      <w:r>
        <w:t>LINC00607在四背景上调1.067至1.517，两模型及供体敏感性通过；旧airway DEX18 h结果为−0.082、BH P=0.915，外部缺注释。这是条件特异待复核候选，尚无独立重复。TEF虽在13供体下调，但单HASM1微阵列不重复，保留该不一致。FKBP5/TSC22D3为已知GR阳性控制。</w:t>
      </w:r>
    </w:p>
    <w:p>
      <w:pPr>
        <w:pStyle w:val="Heading1"/>
      </w:pPr>
      <w:r>
        <w:t>阴性结果、文献与新颖性</w:t>
      </w:r>
    </w:p>
    <w:p>
      <w:r>
        <w:t>初始全基因三个交互×27,409基因共82,227检验，无一通过pooled BH（最小0.3515）。不降低阈值取阳性；无显著交互不证明CEBPD/TNF完全无效或四背景等效。外部病组差亦未通过48项Holm，不证明两组等效。</w:t>
      </w:r>
    </w:p>
    <w:p>
      <w:r>
        <w:t>已保存15个Europe PMC查询及原论文段落核对。原文明确提到FKBP5/TSC22D3为已知响应基因；2021年胎儿ASM节律研究（doi:10.1152/ajplung.00406.2020）已经研究DEX与PER2等节律机制。2025年跨组织GR转录组研究亦提供已有背景（doi:10.1186/s12864-025-11676-w）。因此不主张发现“激素调节生物钟”这一大主题首次存在。</w:t>
      </w:r>
    </w:p>
    <w:p>
      <w:r>
        <w:t>LINC00607与BRG1/ERG的内皮功能已经有2023年原文（doi:10.1007/s00395-023-00978-3）；本轮仅提出其ASM药物响应待验证。新颖性可定位于固定全基因稳健筛选、排除重叠供体、候选分布及GR/时间综合证据。全文检索有两项HTTP500失败记录，未宣称全面文献覆盖。</w:t>
      </w:r>
    </w:p>
    <w:p>
      <w:pPr>
        <w:pStyle w:val="Heading1"/>
      </w:pPr>
      <w:r>
        <w:t>BioExplainR实际应用及数值核验</w:t>
      </w:r>
    </w:p>
    <w:p>
      <w:r>
        <w:t>实际载入BioExplainR 0.4.0.9000源码，建立9个context及项目，生成中文／英文离线HTML。四背景每个27,409行全表显著计数与独立计数分别151/185/128/149完全一致，82,227行交互计数为0。报告v2修正uncertainty字段及混合实验scope，v1保留为被取代版本。</w:t>
      </w:r>
    </w:p>
    <w:p>
      <w:r>
        <w:t>Python独立核对82,227交互、109,636响应的BH及Wald/CI，192供体记录（180可估计、12缺失），300项精确GR WLS数值、110原微阵列测量和24直接时间检验；独立R从5,851,434行原TPM及原配对补充表复核286测量、143供体效应、44可估计检验与48项分母，360统计检查通过。拟合参数来源保留，未称跨语言重新估计DESeq2 dispersion或limma moderation。</w:t>
      </w:r>
    </w:p>
    <w:p>
      <w:r>
        <w:t>统计由DESeq2/edgeR/limma完成，BioExplainR负责完整事实、scope、项目和报告。在线模型调用为0；成果为公共数据实际重分析。</w:t>
      </w:r>
    </w:p>
    <w:p>
      <w:pPr>
        <w:pStyle w:val="Heading1"/>
      </w:pPr>
      <w:r>
        <w:t>可直接执行的后续验证</w:t>
      </w:r>
    </w:p>
    <w:p>
      <w:r>
        <w:t>优先线索：成人ASM中PER2/PER3短时与晚时激素响应。采用匹配vehicle的0/2/4/8/12/18/24/36 h时间序列、独立供体与GR干预，分别测PER2/PER3 RNA和蛋白；先检验暂态诱导与晚期抑制，随后才能拟合节律相位/振幅。</w:t>
      </w:r>
    </w:p>
    <w:p>
      <w:r>
        <w:t>次级线索：METTL7A/MAOA的较晚累积响应和ANGPTL2/FSTL3细胞外信号。以供体为单位复核表达及蛋白，再作相应干预与功能终点；LINC00607先核实原计数注释、异构体和qPCR特异性。当前交付已经包含具体数值、供体记录、完整结果表及图稿。</w:t>
      </w:r>
    </w:p>
    <w:p>
      <w:pPr>
        <w:pStyle w:val="Heading1"/>
      </w:pPr>
      <w:r>
        <w:t>结果图稿</w:t>
      </w:r>
    </w:p>
    <w:p>
      <w:r>
        <w:drawing>
          <wp:inline xmlns:a="http://schemas.openxmlformats.org/drawingml/2006/main" xmlns:pic="http://schemas.openxmlformats.org/drawingml/2006/picture">
            <wp:extent cx="6035040" cy="4224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ntext_respo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图1：四种ASM背景中的固定12候选响应。格内为DESeq2 log2FC；所有候选通过两模型全family BH及供体方向要求。LINC00607名称另由Ensembl核对，外部未测得。</w:t>
      </w:r>
    </w:p>
    <w:p>
      <w:r>
        <w:drawing>
          <wp:inline xmlns:a="http://schemas.openxmlformats.org/drawingml/2006/main" xmlns:pic="http://schemas.openxmlformats.org/drawingml/2006/picture">
            <wp:extent cx="603504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external_don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图2：排除3个已知重叠细胞系后的13供体配对效应与95% t区间。11个可测基因均通过48检验Holm，不能据此确认TNF/KD交互。</w:t>
      </w:r>
    </w:p>
    <w:p>
      <w:r>
        <w:drawing>
          <wp:inline xmlns:a="http://schemas.openxmlformats.org/drawingml/2006/main" xmlns:pic="http://schemas.openxmlformats.org/drawingml/2006/picture">
            <wp:extent cx="6035040" cy="422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aired_measure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图3：六条重点线索的逐供体原始测量。每线是一个供体，不把两文库计为两人。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ER2_GR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图4：PER2在A549的短时DEX上调、三项GR药物交互及长时回落。交互为DEX响应差中差；95%CI使用精确逐基因WLS协方差。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clock_time_array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图5：单HASM1细胞系的PER2/PER3处理时间条件。直接24 h−4 h比较已检验，而非以两组显著性不同推出时间差。</w:t>
      </w:r>
    </w:p>
    <w:p>
      <w:pPr>
        <w:pStyle w:val="Heading1"/>
      </w:pPr>
      <w:r>
        <w:t>可复现结果入口</w:t>
      </w:r>
    </w:p>
    <w:p>
      <w:r>
        <w:t>research/results/discovery_stable_response_v1/evidence_summary.csv</w:t>
      </w:r>
    </w:p>
    <w:p>
      <w:r>
        <w:t>research/results/discovery_stable_response_v1/response_full_results.csv</w:t>
      </w:r>
    </w:p>
    <w:p>
      <w:r>
        <w:t>research/results/discovery_stable_response_v1/stable_response_screen.csv</w:t>
      </w:r>
    </w:p>
    <w:p>
      <w:r>
        <w:t>research/results/discovery_stable_response_v1/external_results.csv</w:t>
      </w:r>
    </w:p>
    <w:p>
      <w:r>
        <w:t>research/results/discovery_stable_response_v1/gr_candidate_results.csv</w:t>
      </w:r>
    </w:p>
    <w:p>
      <w:r>
        <w:t>research/results/discovery_stable_response_v1/gr_late_results.csv</w:t>
      </w:r>
    </w:p>
    <w:p>
      <w:r>
        <w:t>research/results/discovery_stable_response_v1/direct_temporal_results.csv</w:t>
      </w:r>
    </w:p>
    <w:p>
      <w:r>
        <w:t>research/results/discovery_stable_response_v1/BioExplainR-report-zh-v2.html</w:t>
      </w:r>
    </w:p>
    <w:p>
      <w:r>
        <w:t>research/results/discovery_stable_response_v1/numeric_audit.json</w:t>
      </w:r>
    </w:p>
    <w:p>
      <w:r>
        <w:t>research/results/discovery_stable_response_v1/external_r_audit.json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