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BioExplainR：已有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生物信息学结果的事实约束解释与可追溯核对</w:t>
      </w:r>
    </w:p>
    <w:p>
      <w:pPr>
        <w:pStyle w:val="Subtitle"/>
      </w:pPr>
      <w:r>
        <w:rPr>
          <w:b w:val="0"/>
          <w:i w:val="0"/>
        </w:rPr>
        <w:t>中文论文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</w:t>
      </w:r>
    </w:p>
    <w:p>
      <w:pPr/>
      <w:r>
        <w:rPr>
          <w:b w:val="0"/>
          <w:i w:val="0"/>
        </w:rPr>
        <w:t>2026-10-08</w:t>
      </w:r>
    </w:p>
    <w:p>
      <w:r>
        <w:rPr>
          <w:b/>
          <w:i w:val="0"/>
        </w:rPr>
        <w:t>作者</w:t>
      </w:r>
      <w:r>
        <w:rPr>
          <w:b/>
          <w:i w:val="0"/>
        </w:rPr>
        <w:t xml:space="preserve"> </w:t>
      </w:r>
      <w:r>
        <w:rPr>
          <w:b/>
          <w:i w:val="0"/>
        </w:rPr>
        <w:t>/</w:t>
      </w:r>
      <w:r>
        <w:rPr>
          <w:b/>
          <w:i w:val="0"/>
        </w:rPr>
        <w:t xml:space="preserve"> </w:t>
      </w:r>
      <w:r>
        <w:rPr>
          <w:b/>
          <w:i w:val="0"/>
        </w:rPr>
        <w:t>单位</w:t>
      </w:r>
      <w:r>
        <w:rPr>
          <w:b/>
          <w:i w:val="0"/>
        </w:rPr>
        <w:t xml:space="preserve"> </w:t>
      </w:r>
      <w:r>
        <w:rPr>
          <w:b/>
          <w:i w:val="0"/>
        </w:rPr>
        <w:t>/</w:t>
      </w:r>
      <w:r>
        <w:rPr>
          <w:b/>
          <w:i w:val="0"/>
        </w:rPr>
        <w:t xml:space="preserve"> </w:t>
      </w:r>
      <w:r>
        <w:rPr>
          <w:b/>
          <w:i w:val="0"/>
        </w:rPr>
        <w:t>通讯作者：</w:t>
      </w:r>
      <w:r>
        <w:rPr>
          <w:b w:val="0"/>
          <w:i w:val="0"/>
        </w:rPr>
        <w:t>［待填写］</w:t>
      </w:r>
    </w:p>
    <w:p>
      <w:pPr>
        <w:pStyle w:val="Heading1"/>
      </w:pPr>
      <w:r>
        <w:rPr>
          <w:b w:val="0"/>
          <w:i w:val="0"/>
        </w:rPr>
        <w:t>摘要</w:t>
      </w:r>
    </w:p>
    <w:p>
      <w:r>
        <w:rPr>
          <w:b/>
          <w:i w:val="0"/>
        </w:rPr>
        <w:t>目的：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将生物信息学结果转化为可审查解释，需要同时保留统计事实、研究单位及来源。BioExplainR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结果提供统一的解释与核对层。</w:t>
      </w:r>
    </w:p>
    <w:p>
      <w:r>
        <w:rPr>
          <w:b/>
          <w:i w:val="0"/>
        </w:rPr>
        <w:t>方法：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从完整输入确定性计算事实，以可选语言模型组织措辞，分别核对声明、图形、样本映射及结果关系。使用公开数据、受控错误、保存的输入消融和工程验收评价工作流；固定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候选后，开展外部培养实验、因子干预及多供体响应重分析。</w:t>
      </w:r>
    </w:p>
    <w:p>
      <w:r>
        <w:rPr>
          <w:b/>
          <w:i w:val="0"/>
        </w:rPr>
        <w:t>结果：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九阈值的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项全表事实均与源表一致；miniACC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病例中仅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个五模态完整。历史目标传递实验中，有界原始预览匹配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437/1,440，R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事实输入匹配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1,440/1,440；新增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场景均返回预期状态。SPARCL1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外部单细胞系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小时地塞米松效应为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+4.132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发布表达单位。进一步核对原论文供体映射后，布地奈德实验的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7/7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非哮喘及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9/9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致死性哮喘供体均呈上调，组内平均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log2(TPM+1)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配对差分别为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+3.514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+3.598，两组差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+0.084（95%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−0.991–1.159，Holm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P=0.859）。四供体因子实验的三项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交互均未通过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校正。</w:t>
      </w:r>
    </w:p>
    <w:p>
      <w:r>
        <w:rPr>
          <w:b/>
          <w:i w:val="0"/>
        </w:rPr>
        <w:t>结论：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的贡献为完整事实传递、科学范围与独立单位保留、可定位核对和项目溯源。生物学案例支持所测致死性哮喘来源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表达响应，同时约束未获支持的机制推断；该响应已有原文报道，本轮新增供体分布和交互检验，不主张首次发现。机制及用户收益需专门评价。</w:t>
      </w:r>
    </w:p>
    <w:p>
      <w:r>
        <w:rPr>
          <w:b/>
          <w:i w:val="0"/>
        </w:rPr>
        <w:t>关键词：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生物信息学；R；确定性事实；可追溯解释；结果验证；糖皮质激素</w:t>
      </w:r>
    </w:p>
    <w:p>
      <w:pPr>
        <w:pStyle w:val="Heading1"/>
      </w:pP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引言</w:t>
      </w:r>
    </w:p>
    <w:p>
      <w:r>
        <w:rPr>
          <w:b w:val="0"/>
          <w:i w:val="0"/>
        </w:rPr>
        <w:t>R/Bioconductor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支持转录组、单细胞与多组学分析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[1–6]。计算后仍需判断全表数量、比较方向、图源一致性及证据独立性。顶部预览不能确定全表显著数；数千细胞不一定是数千独立重复；同病例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RNA/蛋白也不构成独立验证。解释需要把这些边界一起呈现。</w:t>
      </w:r>
    </w:p>
    <w:p>
      <w:r>
        <w:rPr>
          <w:b w:val="0"/>
          <w:i w:val="0"/>
        </w:rPr>
        <w:t>已有工具在细胞类型标注、工作流、基因集知识验证、交互探索和模型连接上各具优势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[7–13]。BioExplainR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四项贡献为：（1）从完整输入传递确定性事实；（2）保留来源、比较、单位及不确定性；（3）对声明、图形和关系返回可定位检查；（4）以项目依赖、覆盖分母和报告连接多结果。与五个相近工具的比较见结果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1，设计见方法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1。我们进一步将解释衔接到候选实验，在保留正向结果的同时公开机制阴性结果和元数据冲突。</w:t>
      </w:r>
    </w:p>
    <w:p>
      <w:pPr>
        <w:pStyle w:val="Heading1"/>
      </w:pP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</w:t>
      </w:r>
    </w:p>
    <w:p>
      <w:pPr>
        <w:pStyle w:val="Heading2"/>
      </w:pPr>
      <w:r>
        <w:rPr>
          <w:b w:val="0"/>
          <w:i w:val="0"/>
        </w:rPr>
        <w:t>2.1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事实约束的解释入口</w:t>
      </w:r>
    </w:p>
    <w:p>
      <w:r>
        <w:rPr>
          <w:b w:val="0"/>
          <w:i w:val="0"/>
        </w:rPr>
        <w:t>我们设计了对象→确定性事实→可选语言→分项核对→报告流程，整体见图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1A–D；补充图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为同一框架的独立技术总览。图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展示处理环节，1B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区分本地输入与模型载荷，1C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展示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pass、fail、partial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unverified，1D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记录派生依赖，使计算、语言和状态分别可追踪。</w:t>
      </w:r>
    </w:p>
    <w:p>
      <w:r>
        <w:rPr>
          <w:b w:val="0"/>
          <w:i w:val="0"/>
        </w:rPr>
        <w:t>对象适配为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bio_context</w:t>
      </w:r>
      <w:r>
        <w:rPr>
          <w:b w:val="0"/>
          <w:i w:val="0"/>
        </w:rPr>
        <w:t>，记录来源状态、facts、有限预览、scope、design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和事实描述符。R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计算计数、方向、方差和分母；模型可选。差异表达筛选为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α、|log2FC|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τ，缺失不视为零，校正沿用上游方法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[14,15]。默认保留全部可发送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facts，超预算显式失败；矩阵、原始映射和标识留本地。技术契约、精度与协议见补充方法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S1–S4。</w:t>
      </w:r>
    </w:p>
    <w:p>
      <w:pPr>
        <w:pStyle w:val="Heading2"/>
      </w:pPr>
      <w:r>
        <w:rPr>
          <w:b w:val="0"/>
          <w:i w:val="0"/>
        </w:rPr>
        <w:t>2.2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分项核对与项目追踪</w:t>
      </w:r>
    </w:p>
    <w:p>
      <w:r>
        <w:rPr>
          <w:b w:val="0"/>
          <w:i w:val="0"/>
        </w:rPr>
        <w:t>声明核对路径、类型、数值、方向、单位和范围；证据保留数据库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ID、来源和访问时间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[16–20]。图形检查支持的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ggplot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映射与源结果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[21]；修复核对指定不变量。样本映射分别报告合法性、覆盖和完整病例数；same/opposite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关系先核对特征及范围，再比较有限非零效应符号。缺信息不自动通过。项目报告及本地工作台串联检查（补充方法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S5–S7）。</w:t>
      </w:r>
    </w:p>
    <w:p>
      <w:pPr>
        <w:pStyle w:val="Heading2"/>
      </w:pPr>
      <w:r>
        <w:rPr>
          <w:b w:val="0"/>
          <w:i w:val="0"/>
        </w:rPr>
        <w:t>2.3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分层评价与工具比较</w:t>
      </w:r>
    </w:p>
    <w:p>
      <w:r>
        <w:rPr>
          <w:b w:val="0"/>
          <w:i w:val="0"/>
        </w:rPr>
        <w:t>六个公开来源承担不同任务：airway/GSE52778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配对转录组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[22,23]，PBMC3k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单供体对象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[24–26]，pasilla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阈值事实，ALL/bladderbatch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设计字段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[27,28]，miniACC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覆盖与方向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[6,29]。具体版本、规模、单位和边界见补充表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S1，预处理见补充方法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S8。历史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模型实验含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程序案例、480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唯一事实、三输入×三重复，合计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请求、4,320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评分，每方法分母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1,440。开发版增加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数值核对、15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场景及工程验收；不同分母分别报告（补充方法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S9–S10）。</w:t>
      </w:r>
    </w:p>
    <w:p>
      <w:r>
        <w:rPr>
          <w:b w:val="0"/>
          <w:i w:val="0"/>
        </w:rPr>
        <w:t>依据原论文及官方文档，将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iSEE、SCassist、GeneAgent、ellmer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GPTCelltype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[7–9,12,13]。表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包括任务/输入、数值与语言分工、检查/证据、离线能力和工作流优势；比较对象为内置能力，未做统一任务的速度、准确率或成本排名。</w:t>
      </w:r>
    </w:p>
    <w:p>
      <w:pPr>
        <w:pStyle w:val="Heading2"/>
      </w:pPr>
      <w:r>
        <w:rPr>
          <w:b w:val="0"/>
          <w:i w:val="0"/>
        </w:rPr>
        <w:t>2.4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固定候选与外部培养实验</w:t>
      </w:r>
    </w:p>
    <w:p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上调集合（P_adj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0.05、log2FC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1）按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P_adj、feature_id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排序固定首个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ENSG00000152583/SPARCL1。候选表达检验前保存方案、UTC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和哈希，元数据及原文已用于可用性审查，非预注册。外部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GSE34313/GPL6480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[30]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包含未处理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4、4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小时处理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3、24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小时处理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数组，来自一个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细胞系。使用发布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值、全部精确单符号匹配探针，主终点为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小时−未处理均值差、两侧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CI；4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小时次要，另报两时间点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组枚举置换。Python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交叉复核；细节见补充方法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S11。</w:t>
      </w:r>
    </w:p>
    <w:p>
      <w:pPr>
        <w:pStyle w:val="Heading2"/>
      </w:pPr>
      <w:r>
        <w:rPr>
          <w:b w:val="0"/>
          <w:i w:val="0"/>
        </w:rPr>
        <w:t>2.5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炎症与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干预的候选交互</w:t>
      </w:r>
    </w:p>
    <w:p>
      <w:r>
        <w:rPr>
          <w:b w:val="0"/>
          <w:i w:val="0"/>
        </w:rPr>
        <w:t>为检验环境依赖性，在读取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候选表达前固定补充方案。该发表实验有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非哮喘供体、31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文库，含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NT/CEBPD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siRNA、vehicle/BUD/TNFα/BUD+TNFα，BUD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nM、TNFα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ng/ml、18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小时；一个敲低失败条件未测序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[31]。从全部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计数保留总计数≥10基因，DESeq2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donor + kd * bud * tnf</w:t>
      </w:r>
      <w:r>
        <w:rPr>
          <w:b w:val="0"/>
          <w:i w:val="0"/>
        </w:rPr>
        <w:t>。三个双侧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交互（NT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BUD×TNFα、无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TNF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BUD×敲低、三因素交互）构成同一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family；simple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用于解释，不以显著/不显著之差代替交互。供体内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log2(规范化计数+1)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差中差、t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和全部符号翻转作敏感性分析；4供体双侧枚举P最小0.125。细节见补充方法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S12。</w:t>
      </w:r>
    </w:p>
    <w:p>
      <w:pPr>
        <w:pStyle w:val="Heading2"/>
      </w:pPr>
      <w:r>
        <w:rPr>
          <w:b w:val="0"/>
          <w:i w:val="0"/>
        </w:rPr>
        <w:t>2.6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多供体响应及可定位配对</w:t>
      </w:r>
    </w:p>
    <w:p>
      <w:r>
        <w:rPr>
          <w:b w:val="0"/>
          <w:i w:val="0"/>
        </w:rPr>
        <w:t>GSE94335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原研究含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非哮喘、9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致死性哮喘供体，BUD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nM、24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[32]。原文与当前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GEO/TPM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版本有差异：GEO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donor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字段逐文库唯一；补充表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给出真实配对。发布长表不含原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N012412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28779/28782，却含原表未列的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28793/28796，且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28793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病组标注冲突。先于候选检验按映射可核对性排除这两文库，不猜测配对，保留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文库、7+9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供体；所有原输入保留。</w:t>
      </w:r>
    </w:p>
    <w:p>
      <w:r>
        <w:rPr>
          <w:b w:val="0"/>
          <w:i w:val="0"/>
        </w:rPr>
        <w:t>同基因全部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相加，固定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log2(TPM+1)，每供体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BUD−vehicle。非哮喘配对t、致死性哮喘配对t及组间响应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构成三检验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family；另作128/512符号翻转及11,440组间枚举，伪计数0.5/0.1仅用于敏感性。TPM不是计数输入，此估计量不当作DESeq2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log2FC。R从原TPM独立重算；Python复核因子模型Wald代数、BH/Holm及供体差中差，未独立重拟合DESeq2。两后续实验至少三个培养细胞系ID相同，不相加独立供体数。补充方法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保留修订及来源。</w:t>
      </w:r>
    </w:p>
    <w:p>
      <w:pPr>
        <w:pStyle w:val="Heading1"/>
      </w:pP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</w:t>
      </w:r>
    </w:p>
    <w:p>
      <w:pPr>
        <w:pStyle w:val="Heading2"/>
      </w:pPr>
      <w:r>
        <w:rPr>
          <w:b w:val="0"/>
          <w:i w:val="0"/>
        </w:rPr>
        <w:t>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相近工具比较与集成审查</w:t>
      </w:r>
    </w:p>
    <w:p>
      <w:r>
        <w:rPr>
          <w:b w:val="0"/>
          <w:i w:val="0"/>
        </w:rPr>
        <w:t>我们将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iSEE、SCassist、GeneAgent、ellmer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GPTCelltype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比较，详细结果见表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1。各工具分别侧重交互探索、单细胞工作流、基因集数据库验证、通用模型连接和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标注。BioExplainR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面向多类已有结果，将完整事实、研究单位、声明/图源核对及项目依赖/覆盖分母整合在同一离线可用工作流。其优势是审查功能的集成与可追踪性，专用任务能力及可扩展性仍各具价值。</w:t>
      </w:r>
    </w:p>
    <w:p>
      <w:pPr>
        <w:pStyle w:val="Heading2"/>
      </w:pPr>
      <w:r>
        <w:rPr>
          <w:b w:val="0"/>
          <w:i w:val="0"/>
        </w:rPr>
        <w:t>3.2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完整事实与科学分母</w:t>
      </w:r>
    </w:p>
    <w:p>
      <w:r>
        <w:rPr>
          <w:b w:val="0"/>
          <w:i w:val="0"/>
        </w:rPr>
        <w:t>我们用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检查全表事实是否随阈值同步，见补充图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S2A、S2C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S2：999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显著特征含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上调、480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下调，九阈值×五事实为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45/45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一致，顶部预览未替代计数。补充图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展示四供体配对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PCA，PC1/PC2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为47.8429%/23.3834%；S2D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DESeq2、limma、edgeR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分别为999、1,301、1,292显著特征。平台保留来源差异，不强制数值相同。</w:t>
      </w:r>
    </w:p>
    <w:p>
      <w:r>
        <w:rPr>
          <w:b w:val="0"/>
          <w:i w:val="0"/>
        </w:rPr>
        <w:t>我们进一步检查观测数量与独立单位。PBMC3k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UMAP、QC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和单位分别见补充图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S3A–C：SCE/SeuratObject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均保留“2,700细胞/1供体”。ALL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的128及bladderbatch的57样本和设计字段见补充图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S3D、补充表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S1。这保留解释背景，不代表供体间推断或批次校正。</w:t>
      </w:r>
    </w:p>
    <w:p>
      <w:r>
        <w:rPr>
          <w:b w:val="0"/>
          <w:i w:val="0"/>
        </w:rPr>
        <w:t>为检查另一来源的一致性，我们回读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六阈值结果，见补充表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S3、补充图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S4A–D（PCA、火山图、计数及阈值）。30项事实全部一致，主阈值218=108上调+110下调，支持所测事实接口一致性。</w:t>
      </w:r>
    </w:p>
    <w:p>
      <w:r>
        <w:rPr>
          <w:b w:val="0"/>
          <w:i w:val="0"/>
        </w:rPr>
        <w:t>我们在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分开检查合法性与完整性，见补充图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S5A、补充表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S4：92病例中43个五模态完整，尽管映射合法。S5D展示46个RNA/蛋白配对且分期已知病例（early28/late18）；S5B、补充表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S5给出33共有特征（18同向/15反向），S5C展示RNA/蛋白分别3/0个BH&lt;0.05。覆盖、符号和显著性分别报告。</w:t>
      </w:r>
    </w:p>
    <w:p>
      <w:pPr>
        <w:pStyle w:val="Heading2"/>
      </w:pPr>
      <w:r>
        <w:rPr>
          <w:b w:val="0"/>
          <w:i w:val="0"/>
        </w:rPr>
        <w:t>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目标传递与明确违例定位</w:t>
      </w:r>
    </w:p>
    <w:p>
      <w:r>
        <w:rPr>
          <w:b w:val="0"/>
          <w:i w:val="0"/>
        </w:rPr>
        <w:t>我们比较有界原始预览、R事实、R事实加证据，见补充图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S6A–B、补充表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S6：原始输出匹配437/1,440（30.35%）、覆盖516/1,440（35.83%）；两事实输入均匹配1,440/1,440，减少固定任务的信息不足。</w:t>
      </w:r>
    </w:p>
    <w:p>
      <w:r>
        <w:rPr>
          <w:b w:val="0"/>
          <w:i w:val="0"/>
        </w:rPr>
        <w:t>六类家族及双模型结果见补充图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S6C–D、补充表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S7：事实输入各家族全匹配，StepFun/DeepSeek各480/480。目标已显式提供，只支持结构化事实传递，不代表全文正确、独立推理或性能排名。</w:t>
      </w:r>
    </w:p>
    <w:p>
      <w:r>
        <w:rPr>
          <w:b w:val="0"/>
          <w:i w:val="0"/>
        </w:rPr>
        <w:t>为检查定位明确违例，补充图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S7A显示72声明错误fail、18缺值partial，S7B为3正确图pass/6错误拒绝，S7D显示两段修复均可运行但仅正确参照水平满足不变量。不同终点分别核对。</w:t>
      </w:r>
    </w:p>
    <w:p>
      <w:r>
        <w:rPr>
          <w:b w:val="0"/>
          <w:i w:val="0"/>
        </w:rPr>
        <w:t>当前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开发场景逐项结果见补充表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S8、状态见补充图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S7C：8pass/5fail/1partial/1unverified，15/15期望一致。缺scope不提升通过；自由文本误称已shrinkage的负例提示未声明措辞仍需审查。</w:t>
      </w:r>
    </w:p>
    <w:p>
      <w:pPr>
        <w:pStyle w:val="Heading2"/>
      </w:pPr>
      <w:r>
        <w:rPr>
          <w:b w:val="0"/>
          <w:i w:val="0"/>
        </w:rPr>
        <w:t>3.4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候选固定与外部表达重复</w:t>
      </w:r>
    </w:p>
    <w:p>
      <w:r>
        <w:rPr>
          <w:b w:val="0"/>
          <w:i w:val="0"/>
        </w:rPr>
        <w:t>我们按发现集规则固定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SPARCL1，候选、外部测量和效应分别见图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2A、2B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2C，完整统计结果见补充表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S10。发现log2FC=+4.575、P_adj=7.06×10</w:t>
      </w:r>
      <w:r>
        <w:rPr>
          <w:b w:val="0"/>
          <w:i w:val="0"/>
          <w:vertAlign w:val="superscript"/>
        </w:rPr>
        <w:t>-132</w:t>
      </w:r>
      <w:r>
        <w:rPr>
          <w:b w:val="0"/>
          <w:i w:val="0"/>
        </w:rPr>
        <w:t>；外部唯一精确探针A_23_P113351，全部10数组纳入。24小时主效应+4.132发布表达单位（95%CI3.748–4.515，Welch/Holm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P=1.55×10</w:t>
      </w:r>
      <w:r>
        <w:rPr>
          <w:b w:val="0"/>
          <w:i w:val="0"/>
          <w:vertAlign w:val="superscript"/>
        </w:rPr>
        <w:t>-4</w:t>
      </w:r>
      <w:r>
        <w:rPr>
          <w:b w:val="0"/>
          <w:i w:val="0"/>
        </w:rPr>
        <w:t>），精确置换P=1/35；4小时次效应+1.966（P=6.57×10</w:t>
      </w:r>
      <w:r>
        <w:rPr>
          <w:b w:val="0"/>
          <w:i w:val="0"/>
          <w:vertAlign w:val="superscript"/>
        </w:rPr>
        <w:t>-6</w:t>
      </w:r>
      <w:r>
        <w:rPr>
          <w:b w:val="0"/>
          <w:i w:val="0"/>
        </w:rPr>
        <w:t>）。支持外部实验同方向响应。</w:t>
      </w:r>
    </w:p>
    <w:p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说明验证层级，两个来源的供体/培养单位分别保留，R独立12项重算一致。原文核对进一步显示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Himes2014表1已报告SPARCL1，Kan2019表3也报告其布地奈德响应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[22,32]；故本轮不将重复上调作为新基因发现，而用下述供体及干预检验界定其可支持的生物学陈述。</w:t>
      </w:r>
    </w:p>
    <w:p>
      <w:pPr>
        <w:pStyle w:val="Heading2"/>
      </w:pPr>
      <w:r>
        <w:rPr>
          <w:b w:val="0"/>
          <w:i w:val="0"/>
        </w:rPr>
        <w:t>3.5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多供体响应保留，机制交互未获支持</w:t>
      </w:r>
    </w:p>
    <w:p>
      <w:r>
        <w:rPr>
          <w:b w:val="0"/>
          <w:i w:val="0"/>
        </w:rPr>
        <w:t>我们核对真实供体后检验布地奈德响应，配对测量见图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3A，效应与CI见图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3B、补充表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S12，全部供体及伪计数敏感性见补充表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S13。16供体全部上调（非哮喘7/7、致死性哮喘9/9）；log2(TPM+1)平均配对差分别+3.514（95%CI2.448–4.580，Holm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P=3.89×10</w:t>
      </w:r>
      <w:r>
        <w:rPr>
          <w:b w:val="0"/>
          <w:i w:val="0"/>
          <w:vertAlign w:val="superscript"/>
        </w:rPr>
        <w:t>-4</w:t>
      </w:r>
      <w:r>
        <w:rPr>
          <w:b w:val="0"/>
          <w:i w:val="0"/>
        </w:rPr>
        <w:t>）和+3.598（3.270–3.926，Holm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P=1.92×10</w:t>
      </w:r>
      <w:r>
        <w:rPr>
          <w:b w:val="0"/>
          <w:i w:val="0"/>
          <w:vertAlign w:val="superscript"/>
        </w:rPr>
        <w:t>-8</w:t>
      </w:r>
      <w:r>
        <w:rPr>
          <w:b w:val="0"/>
          <w:i w:val="0"/>
        </w:rPr>
        <w:t>），精确符号翻转P=0.01563/0.003906。伪计数0.5/0.1仍全部同方向。组间响应差+0.084（−0.991–1.159，Holm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P=0.859；枚举P=0.844），未支持病组响应差；阴性结果不证明等效。这支持所测致死性哮喘来源ASM保留该基因表达响应。</w:t>
      </w:r>
    </w:p>
    <w:p>
      <w:r>
        <w:rPr>
          <w:b w:val="0"/>
          <w:i w:val="0"/>
        </w:rPr>
        <w:t>我们随后检验预定机制交互，四条件BUD效应见图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3C、完整模型见补充表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S11。NT无TNF条件log2FC=+1.533（95%Wald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CI0.420–2.646），四供体规范化计数响应均为正；TNF背景估计+0.287（−0.672–1.245）。直接交互及CI见图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3D：BUD×TNF为−1.246（−2.715–0.222，Holm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P=0.289），BUD×敲低为−0.142（P=1），三因素为−0.136（P=1）。供体差中差亦不支持交互，低表达baseMean8.175增加不确定性。不能由两条件显著性不同推出TNF抑制，也不能声称CEBPD依赖；结果保留为待检验方向。</w:t>
      </w:r>
    </w:p>
    <w:p>
      <w:r>
        <w:rPr>
          <w:b w:val="0"/>
          <w:i w:val="0"/>
        </w:rPr>
        <w:t>软件报告将候选来源、供体响应和因子实验分开，显式保存阴性交互及单位。GSE94335/GSE146017至少三个培养细胞系ID一致，不合并为20个独立供体；与airway供体别名对应未完整核实。新增价值是供体分布、直接组差/交互及可定位映射，不是首次机制发现。</w:t>
      </w:r>
    </w:p>
    <w:p>
      <w:pPr>
        <w:pStyle w:val="Heading2"/>
      </w:pPr>
      <w:r>
        <w:rPr>
          <w:b w:val="0"/>
          <w:i w:val="0"/>
        </w:rPr>
        <w:t>3.6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工程复现</w:t>
      </w:r>
    </w:p>
    <w:p>
      <w:r>
        <w:rPr>
          <w:b w:val="0"/>
          <w:i w:val="0"/>
        </w:rPr>
        <w:t>我们从源码、包检查、安装及浏览器四层检查工作流，见补充表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S9。保存软件验收为677项（676pass/1skip）与R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CMD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OK；miniACC安装重跑八核心表逐字节一致，支持所测环境复现。</w:t>
      </w:r>
    </w:p>
    <w:p>
      <w:r>
        <w:rPr>
          <w:b w:val="0"/>
          <w:i w:val="0"/>
        </w:rPr>
        <w:t>工作台结果见补充图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S8A–D：桌面/移动展示同项目覆盖与方向，成功下载同项目HTML和Cairo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PDF，工程验收分层。S8C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PCA为手算工程输入，不能替代科学或人员评价。</w:t>
      </w:r>
    </w:p>
    <w:p>
      <w:pPr>
        <w:pStyle w:val="Heading1"/>
      </w:pP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讨论</w:t>
      </w:r>
    </w:p>
    <w:p>
      <w:pPr>
        <w:pStyle w:val="Heading2"/>
      </w:pPr>
      <w:r>
        <w:rPr>
          <w:b w:val="0"/>
          <w:i w:val="0"/>
        </w:rPr>
        <w:t>4.1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集成审查到可证伪生物学陈述</w:t>
      </w:r>
    </w:p>
    <w:p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案例展示完整facts、来源/scope/unit、核对和项目溯源的集成。SCassist已有R指标增强提示、GeneAgent已有数据库自验证，故单独“使用摘要”或“检索证据”不是本文唯一创新。贡献是无需模型也可运行的已有结果审查层。</w:t>
      </w:r>
    </w:p>
    <w:p>
      <w:r>
        <w:rPr>
          <w:b w:val="0"/>
          <w:i w:val="0"/>
        </w:rPr>
        <w:t>SPARCL1案例把正向响应推进到病组与干预问题。所测致死性哮喘来源ASM保留表达响应，与“所有严重哮喘来源细胞的全部糖皮质激素靶基因均失去响应”这一简单假设不相容，但不能推出患者整体药物敏感、蛋白机制或抗重塑效应。TNF抑制和CEBPD依赖未获直接交互支持，提示表达重复与机制解释需分别检验。元数据错位及共享供体也说明，可审查链条必须容纳冲突和阴性结果，而非只保留显著结论。</w:t>
      </w:r>
    </w:p>
    <w:p>
      <w:pPr>
        <w:pStyle w:val="Heading2"/>
      </w:pPr>
      <w:r>
        <w:rPr>
          <w:b w:val="0"/>
          <w:i w:val="0"/>
        </w:rPr>
        <w:t>4.2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局限与下一步</w:t>
      </w:r>
    </w:p>
    <w:p>
      <w:r>
        <w:rPr>
          <w:b w:val="0"/>
          <w:i w:val="0"/>
        </w:rPr>
        <w:t>功能表未做共同任务性能排名；</w:t>
      </w:r>
      <w:r>
        <w:t>"</w:t>
      </w:r>
      <w:r>
        <w:rPr>
          <w:b w:val="0"/>
          <w:i w:val="0"/>
        </w:rPr>
        <w:t>未见内置接口</w:t>
      </w:r>
      <w:r>
        <w:t>"</w:t>
      </w:r>
      <w:r>
        <w:rPr>
          <w:b w:val="0"/>
          <w:i w:val="0"/>
        </w:rPr>
        <w:t>不等于不能扩展。模型实验为程序输入及保存响应，当前场景为开发案例，图形核对限支持映射。GSE34313是单一细胞系；GSE94335两文库因配对/病组信息冲突未纳入推断，TPM尺度和伪计数与计数模型估计量不同；GSE146017仅4供体、SPARCL1低表达，区组模型不消除个体响应不确定性。培养细胞系共享，不能把多个实验数量相加。组差/交互阴性不表示不存在效应，文献查询也不能证明“此前无人发现”。</w:t>
      </w:r>
    </w:p>
    <w:p>
      <w:r>
        <w:rPr>
          <w:b w:val="0"/>
          <w:i w:val="0"/>
        </w:rPr>
        <w:t>本轮没有新增湿实验、GR/CEBPD直接结合、SPARCL1干预、蛋白分泌、基质或临床终点。后续最有信息量的实验是新增供体的BUD×TNF配对设计、CEBPD敲低/rescue及SPARCL1分泌/基质功能；应在此独立样本冻结候选和主要交互。真实专家、用户收益与学习增益尚需评价；工程仍缺自动facts分块、全部API独立确认及fre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OS锁定复现。Shiny为本地共享权限应用。</w:t>
      </w:r>
    </w:p>
    <w:p>
      <w:pPr>
        <w:pStyle w:val="Heading1"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结论</w:t>
      </w:r>
    </w:p>
    <w:p>
      <w:r>
        <w:rPr>
          <w:b w:val="0"/>
          <w:i w:val="0"/>
        </w:rPr>
        <w:t>BioExplainR围绕完整事实、科学范围、可定位核对和项目溯源，为已有R结果提供可审查解释。案例支持所测致死性哮喘来源ASM保留SPARCL1表达响应，并明确机制交互及组差尚未获支持。其价值在透明可复核的研究推进；新的因果发现与用户收益需独立证据。</w:t>
      </w:r>
    </w:p>
    <w:p>
      <w:pPr>
        <w:pStyle w:val="Heading1"/>
      </w:pPr>
      <w:r>
        <w:rPr>
          <w:b w:val="0"/>
          <w:i w:val="0"/>
        </w:rPr>
        <w:t>数据与代码可用性</w:t>
      </w:r>
    </w:p>
    <w:p>
      <w:r>
        <w:rPr>
          <w:b w:val="0"/>
          <w:i w:val="0"/>
        </w:rPr>
        <w:t>软件BioExplainR0.4.0.9000，MIT。公开发布暂缓，</w:t>
      </w:r>
      <w:r>
        <w:rPr>
          <w:b/>
          <w:i w:val="0"/>
        </w:rPr>
        <w:t>正式网址、公开release与DOI</w:t>
      </w:r>
      <w:r>
        <w:rPr>
          <w:b/>
          <w:i w:val="0"/>
        </w:rPr>
        <w:t xml:space="preserve"> </w:t>
      </w:r>
      <w:r>
        <w:rPr>
          <w:b/>
          <w:i w:val="0"/>
        </w:rPr>
        <w:t>尚未建立</w:t>
      </w:r>
      <w:r>
        <w:rPr>
          <w:b w:val="0"/>
          <w:i w:val="0"/>
        </w:rPr>
        <w:t>。代码与方案见</w:t>
      </w:r>
      <w:r>
        <w:rPr>
          <w:rFonts w:ascii="DejaVu Sans Mono" w:hAnsi="DejaVu Sans Mono"/>
          <w:b w:val="0"/>
          <w:i w:val="0"/>
          <w:sz w:val="18"/>
        </w:rPr>
        <w:t>research/discovery/</w:t>
      </w:r>
      <w:r>
        <w:rPr>
          <w:b w:val="0"/>
          <w:i w:val="0"/>
        </w:rPr>
        <w:t>，结果见</w:t>
      </w:r>
      <w:r>
        <w:rPr>
          <w:rFonts w:ascii="DejaVu Sans Mono" w:hAnsi="DejaVu Sans Mono"/>
          <w:b w:val="0"/>
          <w:i w:val="0"/>
          <w:sz w:val="18"/>
        </w:rPr>
        <w:t>discovery_sparcl1_v1/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discovery_context_v1/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discovery_donors_v1/</w:t>
      </w:r>
      <w:r>
        <w:rPr>
          <w:b w:val="0"/>
          <w:i w:val="0"/>
        </w:rPr>
        <w:t>。表1及S1–S13提供CSV/XLSX，全部发布输入、修订冻结和原文映射保留。当前稿</w:t>
      </w:r>
      <w:r>
        <w:rPr>
          <w:rFonts w:ascii="DejaVu Sans Mono" w:hAnsi="DejaVu Sans Mono"/>
          <w:b w:val="0"/>
          <w:i w:val="0"/>
          <w:sz w:val="18"/>
        </w:rPr>
        <w:t>docs/paper_cn_v4/</w:t>
      </w:r>
      <w:r>
        <w:rPr>
          <w:b w:val="0"/>
          <w:i w:val="0"/>
        </w:rPr>
        <w:t>；旧版本保留。</w:t>
      </w:r>
    </w:p>
    <w:p>
      <w:r>
        <w:rPr>
          <w:b/>
          <w:i w:val="0"/>
        </w:rPr>
        <w:t>作者贡献、基金、利益冲突：</w:t>
      </w:r>
      <w:r>
        <w:rPr>
          <w:b w:val="0"/>
          <w:i w:val="0"/>
        </w:rPr>
        <w:t>［待填写］。公开数据二次分析及软件验证；人员研究按实际开展补充。AI助手用于开发和整理，统计值来自执行记录；最终作者确认［待填写］。</w:t>
      </w:r>
    </w:p>
    <w:p>
      <w:pPr>
        <w:pStyle w:val="Heading1"/>
      </w:pPr>
      <w:r>
        <w:rPr>
          <w:b w:val="0"/>
          <w:i w:val="0"/>
        </w:rPr>
        <w:t>参考文献</w:t>
      </w:r>
    </w:p>
    <w:p>
      <w:r>
        <w:t xml:space="preserve">1. </w:t>
      </w:r>
      <w:r>
        <w:rPr>
          <w:b w:val="0"/>
          <w:i w:val="0"/>
        </w:rPr>
        <w:t>Love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estimation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2014;15:550.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10.1186/s13059-014-0550-8</w:t>
      </w:r>
      <w:r>
        <w:rPr>
          <w:b w:val="0"/>
          <w:i w:val="0"/>
        </w:rPr>
        <w:t>.</w:t>
      </w:r>
    </w:p>
    <w:p>
      <w:r>
        <w:t xml:space="preserve">2. </w:t>
      </w:r>
      <w:r>
        <w:rPr>
          <w:b w:val="0"/>
          <w:i w:val="0"/>
        </w:rPr>
        <w:t>Ritchie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RNA-sequencing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microarray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studies.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2015;43:e47.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10.1093/nar/gkv007</w:t>
      </w:r>
      <w:r>
        <w:rPr>
          <w:b w:val="0"/>
          <w:i w:val="0"/>
        </w:rPr>
        <w:t>.</w:t>
      </w:r>
    </w:p>
    <w:p>
      <w:r>
        <w:t xml:space="preserve">3. </w:t>
      </w:r>
      <w:r>
        <w:rPr>
          <w:b w:val="0"/>
          <w:i w:val="0"/>
        </w:rPr>
        <w:t>Robinson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McCarthy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Smyth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GK.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package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digital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2010;26:139–140.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10.1093/bioinformatics/btp616</w:t>
      </w:r>
      <w:r>
        <w:rPr>
          <w:b w:val="0"/>
          <w:i w:val="0"/>
        </w:rPr>
        <w:t>.</w:t>
      </w:r>
    </w:p>
    <w:p>
      <w:r>
        <w:t xml:space="preserve">4. </w:t>
      </w:r>
      <w:r>
        <w:rPr>
          <w:b w:val="0"/>
          <w:i w:val="0"/>
        </w:rPr>
        <w:t>Amezquita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Orchestrating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2020;17:137–145.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10.1038/s41592-019-0654-x</w:t>
      </w:r>
      <w:r>
        <w:rPr>
          <w:b w:val="0"/>
          <w:i w:val="0"/>
        </w:rPr>
        <w:t>.</w:t>
      </w:r>
    </w:p>
    <w:p>
      <w:r>
        <w:t xml:space="preserve">5. </w:t>
      </w:r>
      <w:r>
        <w:rPr>
          <w:b w:val="0"/>
          <w:i w:val="0"/>
        </w:rPr>
        <w:t>Hao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Dictionary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learning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integrative,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multimodal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scalable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Biotechnol.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2024;42:293–304.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10.1038/s41587-023-01767-y</w:t>
      </w:r>
      <w:r>
        <w:rPr>
          <w:b w:val="0"/>
          <w:i w:val="0"/>
        </w:rPr>
        <w:t>.</w:t>
      </w:r>
    </w:p>
    <w:p>
      <w:r>
        <w:t xml:space="preserve">6. </w:t>
      </w:r>
      <w:r>
        <w:rPr>
          <w:b w:val="0"/>
          <w:i w:val="0"/>
        </w:rPr>
        <w:t>Ramos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Software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multi-omics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experiments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Cancer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2017;77:e39–e42.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10.1158/0008-5472.CAN-17-0344</w:t>
      </w:r>
      <w:r>
        <w:rPr>
          <w:b w:val="0"/>
          <w:i w:val="0"/>
        </w:rPr>
        <w:t>.</w:t>
      </w:r>
    </w:p>
    <w:p>
      <w:r>
        <w:t xml:space="preserve">7. </w:t>
      </w:r>
      <w:r>
        <w:rPr>
          <w:b w:val="0"/>
          <w:i w:val="0"/>
        </w:rPr>
        <w:t>Hou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Assessing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GPT-4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annotation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2024;21:1462–1465.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10.1038/s41592-024-02235-4</w:t>
      </w:r>
      <w:r>
        <w:rPr>
          <w:b w:val="0"/>
          <w:i w:val="0"/>
        </w:rPr>
        <w:t>.</w:t>
      </w:r>
    </w:p>
    <w:p>
      <w:r>
        <w:t xml:space="preserve">8. </w:t>
      </w:r>
      <w:r>
        <w:rPr>
          <w:b w:val="0"/>
          <w:i w:val="0"/>
        </w:rPr>
        <w:t>Nagarajan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SCassist: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assistant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2025;41:btaf402.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10.1093/bioinformatics/btaf402</w:t>
      </w:r>
      <w:r>
        <w:rPr>
          <w:b w:val="0"/>
          <w:i w:val="0"/>
        </w:rPr>
        <w:t>.</w:t>
      </w:r>
    </w:p>
    <w:p>
      <w:r>
        <w:t xml:space="preserve">9. </w:t>
      </w:r>
      <w:r>
        <w:rPr>
          <w:b w:val="0"/>
          <w:i w:val="0"/>
        </w:rPr>
        <w:t>Wang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GeneAgent: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self-verification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gene-set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databases.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2025;22:1677–1685.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10.1038/s41592-025-02748-6</w:t>
      </w:r>
      <w:r>
        <w:rPr>
          <w:b w:val="0"/>
          <w:i w:val="0"/>
        </w:rPr>
        <w:t>.</w:t>
      </w:r>
    </w:p>
    <w:p>
      <w:r>
        <w:t xml:space="preserve">10. </w:t>
      </w:r>
      <w:r>
        <w:rPr>
          <w:b w:val="0"/>
          <w:i w:val="0"/>
        </w:rPr>
        <w:t>Lobentanzer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biomedical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Biotechnol.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2025;43:166–169.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10.1038/s41587-024-02534-3</w:t>
      </w:r>
      <w:r>
        <w:rPr>
          <w:b w:val="0"/>
          <w:i w:val="0"/>
        </w:rPr>
        <w:t>.</w:t>
      </w:r>
    </w:p>
    <w:p>
      <w:r>
        <w:t xml:space="preserve">11. </w:t>
      </w:r>
      <w:r>
        <w:rPr>
          <w:b w:val="0"/>
          <w:i w:val="0"/>
        </w:rPr>
        <w:t>Huang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Biomni: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general-purpose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biomedical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bioRxiv.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10.1101/2025.05.30.656746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［预印本］</w:t>
      </w:r>
    </w:p>
    <w:p>
      <w:r>
        <w:t xml:space="preserve">12. </w:t>
      </w:r>
      <w:r>
        <w:rPr>
          <w:b w:val="0"/>
          <w:i w:val="0"/>
        </w:rPr>
        <w:t>Rue-Albrecht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iSEE: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Interactive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SummarizedExperiment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Explorer.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F1000Res.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2018;7:741.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10.12688/f1000research.14966.1</w:t>
      </w:r>
      <w:r>
        <w:rPr>
          <w:b w:val="0"/>
          <w:i w:val="0"/>
        </w:rPr>
        <w:t>.</w:t>
      </w:r>
    </w:p>
    <w:p>
      <w:r>
        <w:t xml:space="preserve">13. </w:t>
      </w:r>
      <w:r>
        <w:rPr>
          <w:b w:val="0"/>
          <w:i w:val="0"/>
        </w:rPr>
        <w:t>Posit/tidyverse.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ellmer: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https://ellmer.tidyverse.org/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［软件文档，访问2026-10-04］</w:t>
      </w:r>
    </w:p>
    <w:p>
      <w:r>
        <w:t xml:space="preserve">14. </w:t>
      </w:r>
      <w:r>
        <w:rPr>
          <w:b w:val="0"/>
          <w:i w:val="0"/>
        </w:rPr>
        <w:t>Benjamini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Hochberg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practical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powerful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1995;57:289–300.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10.1111/j.2517-6161.1995.tb02031.x</w:t>
      </w:r>
      <w:r>
        <w:rPr>
          <w:b w:val="0"/>
          <w:i w:val="0"/>
        </w:rPr>
        <w:t>.</w:t>
      </w:r>
    </w:p>
    <w:p>
      <w:r>
        <w:t xml:space="preserve">15. </w:t>
      </w:r>
      <w:r>
        <w:rPr>
          <w:b w:val="0"/>
          <w:i w:val="0"/>
        </w:rPr>
        <w:t>Bourgon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Gentleman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filtering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increases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high-throughput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experiments.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2010;107:9546–9551.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10.1073/pnas.0914005107</w:t>
      </w:r>
      <w:r>
        <w:rPr>
          <w:b w:val="0"/>
          <w:i w:val="0"/>
        </w:rPr>
        <w:t>.</w:t>
      </w:r>
    </w:p>
    <w:p>
      <w:r>
        <w:t xml:space="preserve">16.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Consortium.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full-text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life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sciences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innovation.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2015;43:D1042–D1048.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10.1093/nar/gku1061</w:t>
      </w:r>
      <w:r>
        <w:rPr>
          <w:b w:val="0"/>
          <w:i w:val="0"/>
        </w:rPr>
        <w:t>.</w:t>
      </w:r>
    </w:p>
    <w:p>
      <w:r>
        <w:t xml:space="preserve">17. </w:t>
      </w:r>
      <w:r>
        <w:rPr>
          <w:b w:val="0"/>
          <w:i w:val="0"/>
        </w:rPr>
        <w:t>Binns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QuickGO: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web-based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searching.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2009;25:3045–3046.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10.1093/bioinformatics/btp536</w:t>
      </w:r>
      <w:r>
        <w:rPr>
          <w:b w:val="0"/>
          <w:i w:val="0"/>
        </w:rPr>
        <w:t>.</w:t>
      </w:r>
    </w:p>
    <w:p>
      <w:r>
        <w:t xml:space="preserve">18. </w:t>
      </w:r>
      <w:r>
        <w:rPr>
          <w:b w:val="0"/>
          <w:i w:val="0"/>
        </w:rPr>
        <w:t>Gillespie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pathway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2022;50:D687–D692.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10.1093/nar/gkab1028</w:t>
      </w:r>
      <w:r>
        <w:rPr>
          <w:b w:val="0"/>
          <w:i w:val="0"/>
        </w:rPr>
        <w:t>.</w:t>
      </w:r>
    </w:p>
    <w:p>
      <w:r>
        <w:t xml:space="preserve">19. </w:t>
      </w:r>
      <w:r>
        <w:rPr>
          <w:b w:val="0"/>
          <w:i w:val="0"/>
        </w:rPr>
        <w:t>Kanehisa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KEGG: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Kyoto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Encyclopedia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2000;28:27–30.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10.1093/nar/28.1.27</w:t>
      </w:r>
      <w:r>
        <w:rPr>
          <w:b w:val="0"/>
          <w:i w:val="0"/>
        </w:rPr>
        <w:t>.</w:t>
      </w:r>
    </w:p>
    <w:p>
      <w:r>
        <w:t xml:space="preserve">20. </w:t>
      </w:r>
      <w:r>
        <w:rPr>
          <w:b w:val="0"/>
          <w:i w:val="0"/>
        </w:rPr>
        <w:t>UniProt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Consortium.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UniProt: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Universal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Protein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2023;51:D523–D531.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10.1093/nar/gkac1052</w:t>
      </w:r>
      <w:r>
        <w:rPr>
          <w:b w:val="0"/>
          <w:i w:val="0"/>
        </w:rPr>
        <w:t>.</w:t>
      </w:r>
    </w:p>
    <w:p>
      <w:r>
        <w:t xml:space="preserve">21. </w:t>
      </w:r>
      <w:r>
        <w:rPr>
          <w:b w:val="0"/>
          <w:i w:val="0"/>
        </w:rPr>
        <w:t>Wickham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ggplot2: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Elegant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Springer;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10.1007/978-3-319-24277-4</w:t>
      </w:r>
      <w:r>
        <w:rPr>
          <w:b w:val="0"/>
          <w:i w:val="0"/>
        </w:rPr>
        <w:t>.</w:t>
      </w:r>
    </w:p>
    <w:p>
      <w:r>
        <w:t xml:space="preserve">22. </w:t>
      </w:r>
      <w:r>
        <w:rPr>
          <w:b w:val="0"/>
          <w:i w:val="0"/>
        </w:rPr>
        <w:t>Himes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CRISPLD2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cytokine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2014;9:e99625.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10.1371/journal.pone.0099625</w:t>
      </w:r>
      <w:r>
        <w:rPr>
          <w:b w:val="0"/>
          <w:i w:val="0"/>
        </w:rPr>
        <w:t>.</w:t>
      </w:r>
    </w:p>
    <w:p>
      <w:r>
        <w:t xml:space="preserve">23. </w:t>
      </w:r>
      <w:r>
        <w:rPr>
          <w:b w:val="0"/>
          <w:i w:val="0"/>
        </w:rPr>
        <w:t>Law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voom: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precision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weights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unlock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linear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2014;15:R29.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10.1186/gb-2014-15-2-r29</w:t>
      </w:r>
      <w:r>
        <w:rPr>
          <w:b w:val="0"/>
          <w:i w:val="0"/>
        </w:rPr>
        <w:t>.</w:t>
      </w:r>
    </w:p>
    <w:p>
      <w:r>
        <w:t xml:space="preserve">24. </w:t>
      </w:r>
      <w:r>
        <w:rPr>
          <w:b w:val="0"/>
          <w:i w:val="0"/>
        </w:rPr>
        <w:t>10x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PBMCs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Healthy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Donor,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Chromium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v1.1.0.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公开矩阵归档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［公开数据集］</w:t>
      </w:r>
    </w:p>
    <w:p>
      <w:r>
        <w:t xml:space="preserve">25. </w:t>
      </w:r>
      <w:r>
        <w:rPr>
          <w:b w:val="0"/>
          <w:i w:val="0"/>
        </w:rPr>
        <w:t>McInnes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Melville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Manifold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Approximation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Dimension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Reduction.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arXiv.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2018;1802.03426.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https://arxiv.org/abs/1802.03426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［预印本］</w:t>
      </w:r>
    </w:p>
    <w:p>
      <w:r>
        <w:t xml:space="preserve">26. </w:t>
      </w:r>
      <w:r>
        <w:rPr>
          <w:b w:val="0"/>
          <w:i w:val="0"/>
        </w:rPr>
        <w:t>Squair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Confronting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Commun.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2021;12:5692.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10.1038/s41467-021-25960-2</w:t>
      </w:r>
      <w:r>
        <w:rPr>
          <w:b w:val="0"/>
          <w:i w:val="0"/>
        </w:rPr>
        <w:t>.</w:t>
      </w:r>
    </w:p>
    <w:p>
      <w:r>
        <w:t xml:space="preserve">27.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1.44.0.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https://bioconductor.org/packages/3.18/data/experiment/html/ALL.html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［数据包］</w:t>
      </w:r>
    </w:p>
    <w:p>
      <w:r>
        <w:t xml:space="preserve">28.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1.40.0.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https://bioconductor.org/packages/3.18/data/experiment/html/bladderbatch.html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［数据包］</w:t>
      </w:r>
    </w:p>
    <w:p>
      <w:r>
        <w:t xml:space="preserve">29. </w:t>
      </w:r>
      <w:r>
        <w:rPr>
          <w:b w:val="0"/>
          <w:i w:val="0"/>
        </w:rPr>
        <w:t>Zheng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Comprehensive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Pan-Genomic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Characterization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Adrenocortical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Carcinoma.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Cancer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2016;29:723–736.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10.1016/j.ccell.2016.04.002</w:t>
      </w:r>
      <w:r>
        <w:rPr>
          <w:b w:val="0"/>
          <w:i w:val="0"/>
        </w:rPr>
        <w:t>.</w:t>
      </w:r>
    </w:p>
    <w:p>
      <w:r>
        <w:t xml:space="preserve">30. </w:t>
      </w:r>
      <w:r>
        <w:rPr>
          <w:b w:val="0"/>
          <w:i w:val="0"/>
        </w:rPr>
        <w:t>Masuno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Klf15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target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hyperresponsiveness.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2011;45:642–649.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10.1165/rcmb.2010-0369OC</w:t>
      </w:r>
      <w:r>
        <w:rPr>
          <w:b w:val="0"/>
          <w:i w:val="0"/>
        </w:rPr>
        <w:t>.</w:t>
      </w:r>
    </w:p>
    <w:p>
      <w:r>
        <w:t xml:space="preserve">31. </w:t>
      </w:r>
      <w:r>
        <w:rPr>
          <w:b w:val="0"/>
          <w:i w:val="0"/>
        </w:rPr>
        <w:t>Kan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Jiang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2022;23:193.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10.1186/s12931-022-02119-1</w:t>
      </w:r>
      <w:r>
        <w:rPr>
          <w:b w:val="0"/>
          <w:i w:val="0"/>
        </w:rPr>
        <w:t>.</w:t>
      </w:r>
    </w:p>
    <w:p>
      <w:r>
        <w:t xml:space="preserve">32. </w:t>
      </w:r>
      <w:r>
        <w:rPr>
          <w:b w:val="0"/>
          <w:i w:val="0"/>
        </w:rPr>
        <w:t>Kan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Koziol-White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Shumyatcher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muscle-specific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signatures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exposure.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2019;61:110–120.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10.1165/rcmb.2018-0385OC</w:t>
      </w:r>
      <w:r>
        <w:rPr>
          <w:b w:val="0"/>
          <w:i w:val="0"/>
        </w:rPr>
        <w:t>.</w:t>
      </w:r>
    </w:p>
    <w:p>
      <w:pPr>
        <w:pStyle w:val="Heading1"/>
        <w:pageBreakBefore/>
      </w:pPr>
      <w:r>
        <w:rPr>
          <w:b w:val="0"/>
          <w:i w:val="0"/>
        </w:rPr>
        <w:t>图表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相近工具与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的任务和内置能力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417"/>
        <w:gridCol w:w="1474"/>
        <w:gridCol w:w="1531"/>
        <w:gridCol w:w="1757"/>
        <w:gridCol w:w="1134"/>
        <w:gridCol w:w="2324"/>
      </w:tblGrid>
      <w:tr>
        <w:trPr>
          <w:cantSplit/>
          <w:tblHeader/>
        </w:trPr>
        <w:tc>
          <w:tcPr>
            <w:tcW w:type="dxa" w:w="141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工具</w:t>
            </w:r>
          </w:p>
        </w:tc>
        <w:tc>
          <w:tcPr>
            <w:tcW w:type="dxa" w:w="147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主要任务与输入</w:t>
            </w:r>
          </w:p>
        </w:tc>
        <w:tc>
          <w:tcPr>
            <w:tcW w:type="dxa" w:w="153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数值与语言分工</w:t>
            </w:r>
          </w:p>
        </w:tc>
        <w:tc>
          <w:tcPr>
            <w:tcW w:type="dxa" w:w="175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检查/证据重点</w:t>
            </w:r>
          </w:p>
        </w:tc>
        <w:tc>
          <w:tcPr>
            <w:tcW w:type="dxa" w:w="113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离线能力</w:t>
            </w:r>
          </w:p>
        </w:tc>
        <w:tc>
          <w:tcPr>
            <w:tcW w:type="dxa" w:w="232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与本文互补的优势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iSEE [12]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SE/SCE 交互探索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对象驱动图表；不以 LLM 为核心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联动选择、元数据和绘图代码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完整交互探索</w:t>
            </w:r>
          </w:p>
        </w:tc>
        <w:tc>
          <w:tcPr>
            <w:tcW w:type="dxa" w:w="232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成熟可定制面板；BioExplainR 增加显式声明和图源核对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SCassist [8]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Seurat 单细胞工作流指导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R 指标/富集增强 LLM 提示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QC/标准化/聚类建议、注释与富集解释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可用本地 Ollama；仍需模型</w:t>
            </w:r>
          </w:p>
        </w:tc>
        <w:tc>
          <w:tcPr>
            <w:tcW w:type="dxa" w:w="232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端到端单细胞建议；BioExplainR 扩展为跨对象的范围与分项核对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GeneAgent [9]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基因集功能分析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LLM 生成、数据库检索与自验证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生物学功能声明与多数据库支持/反驳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主流程需模型和数据库</w:t>
            </w:r>
          </w:p>
        </w:tc>
        <w:tc>
          <w:tcPr>
            <w:tcW w:type="dxa" w:w="232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深入基因集证据；BioExplainR 从已有数值对象核对统计声明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ellmer [13]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通用 R–LLM 连接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结构化输出、流式及工具调用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由开发者定义工具和检查规则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可接本地 Ollama；仍需模型</w:t>
            </w:r>
          </w:p>
        </w:tc>
        <w:tc>
          <w:tcPr>
            <w:tcW w:type="dxa" w:w="232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广泛模型基础设施；BioExplainR 提供现成生物统计事实与验证契约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GPTCelltype [7]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cluster marker → 细胞类型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marker 提示与模型标签输出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细胞类型注释任务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可先生成提示；注释需模型</w:t>
            </w:r>
          </w:p>
        </w:tc>
        <w:tc>
          <w:tcPr>
            <w:tcW w:type="dxa" w:w="232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专用标注入口；BioExplainR 保留细胞/供体层级及解释范围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BioExplainR（本文）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已有差异/富集/PCA/单细胞/多组学结果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R 全输入 facts；可选模型只组织语言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声明、图源、scope/unit、映射覆盖、方向和依赖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无需模型的事实、解释、检查和报告</w:t>
            </w:r>
          </w:p>
        </w:tc>
        <w:tc>
          <w:tcPr>
            <w:tcW w:type="dxa" w:w="232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完整事实 + 可定位检查 + 科学分母 + 项目溯源的集成审查层</w:t>
            </w:r>
          </w:p>
        </w:tc>
      </w:tr>
    </w:tbl>
    <w:p>
      <w:r>
        <w:rPr>
          <w:b/>
          <w:i w:val="0"/>
          <w:sz w:val="17"/>
        </w:rPr>
        <w:t>表注：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依据原论文与官方文档（访问2026-10-08），侧重任务/内置接口；无统一速度、准确率或成本比较。第三方可扩展组合能力，BioExplainR优势为审查环节整合。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的事实约束工作流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1.</w:t>
      </w:r>
      <w:r>
        <w:rPr>
          <w:b/>
          <w:i w:val="0"/>
        </w:rPr>
        <w:t xml:space="preserve"> </w:t>
      </w:r>
      <w:r>
        <w:rPr>
          <w:b/>
          <w:i w:val="0"/>
        </w:rPr>
        <w:t>已有对象到可检查报告。</w:t>
      </w:r>
      <w:r>
        <w:rPr>
          <w:b w:val="0"/>
          <w:i w:val="0"/>
        </w:rPr>
        <w:t>（A）对象→facts→可选语言→核对→输出；（B）本地/载荷边界；（C）独立状态；（D）结果依赖。同来源和符号一致不构成独立确认。矢量图复用历史图1。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候选固定与外部实验初步重复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2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2.</w:t>
      </w:r>
      <w:r>
        <w:rPr>
          <w:b/>
          <w:i w:val="0"/>
        </w:rPr>
        <w:t xml:space="preserve"> </w:t>
      </w:r>
      <w:r>
        <w:rPr>
          <w:b/>
          <w:i w:val="0"/>
        </w:rPr>
        <w:t>固定候选与外部培养实验。</w:t>
      </w:r>
      <w:r>
        <w:rPr>
          <w:b w:val="0"/>
          <w:i w:val="0"/>
        </w:rPr>
        <w:t>（A）完整集合及规则；（B）全部外部数组processed值；（C）两时间点均值差/95%Welch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CI；（D）历史方案的验证层级。发现RNA-seq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log2FC与processed单位不比较幅度，不同accession不证明供体无重叠。图2D为先前提出的后续实验路线，新增因子/供体重分析见图3；本轮无在线模型。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多供体响应与机制检验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069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3.</w:t>
      </w:r>
      <w:r>
        <w:rPr>
          <w:b/>
          <w:i w:val="0"/>
        </w:rPr>
        <w:t xml:space="preserve"> </w:t>
      </w:r>
      <w:r>
        <w:rPr>
          <w:b/>
          <w:i w:val="0"/>
        </w:rPr>
        <w:t>响应重复与机制推断分别检验。</w:t>
      </w:r>
      <w:r>
        <w:rPr>
          <w:b w:val="0"/>
          <w:i w:val="0"/>
        </w:rPr>
        <w:t>（A）原论文Table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E1核对的16供体配对，非哮喘7/7、致死性哮喘9/9均上调；（B）log2(同基因全部transcript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TPM之和+1)配对差及组间差、95%CI和三检验Holm；（C）GSE146017四条件BUD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count-model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effects及Wald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CI；（D）三预定交互均跨0，Holm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≥0.289。A–B与C–D为不同药物时间/处理背景及估计量，不比较幅度、不合并供体。28793/28796映射未核实，按设计先排除；三同ID培养细胞系跨后续实验共享。图3D阴性不证明等效或CEBPD无作用。数据：补充表S11–S13及全部公开输入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  <w:numPr>
        <w:numId w:val="0"/>
      </w:numPr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  <w:numPr>
        <w:numId w:val="0"/>
      </w:numPr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  <w:numPr>
        <w:numId w:val="0"/>
      </w:numPr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