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中文论文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v0.10：补充材料</w:t>
      </w:r>
    </w:p>
    <w:p>
      <w:pPr/>
      <w:r>
        <w:rPr>
          <w:b w:val="0"/>
          <w:i w:val="0"/>
        </w:rPr>
        <w:t>2026-10-08</w:t>
      </w:r>
    </w:p>
    <w:p>
      <w:r>
        <w:rPr>
          <w:b w:val="0"/>
          <w:i w:val="0"/>
        </w:rPr>
        <w:t>本补充保留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的详细方法及历史结果图表，软件版本与执行日期按原记录标注。S1–S10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是既有方法，S11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为原外部候选案例，S12–S13为本轮因子干预与多供体响应重分析。主稿聚焦四项贡献；本文件并不新增专家或用户评分。参考文献编号与主稿一致。</w:t>
      </w:r>
    </w:p>
    <w:p>
      <w:pPr>
        <w:pStyle w:val="Heading1"/>
      </w:pPr>
      <w:r>
        <w:rPr>
          <w:b w:val="0"/>
          <w:i w:val="0"/>
        </w:rPr>
        <w:t>补充方法</w:t>
      </w:r>
    </w:p>
    <w:p>
      <w:pPr>
        <w:pStyle w:val="Heading2"/>
      </w:pP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研究设计、版本与评价层级</w:t>
      </w:r>
    </w:p>
    <w:p>
      <w:r>
        <w:rPr>
          <w:b w:val="0"/>
          <w:i w:val="0"/>
        </w:rPr>
        <w:t>研究包含对象接入、数值事实核对、受控机制挑战、模型结构化传递和工程验收五个层级。对象接入评价来源类、维度及设计字段；数值核对比较适配器值与直接源表计算；机制挑战注入事先定义的错误并检查返回状态；模型实验评价显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fact-path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和标量值的传递；工程验收评价安装、传输、页面及下载行为。不同层级使用不同分母，不合并为总体“准确率”。</w:t>
      </w:r>
    </w:p>
    <w:p>
      <w:r>
        <w:rPr>
          <w:b w:val="0"/>
          <w:i w:val="0"/>
        </w:rPr>
        <w:t>当前平台为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0.4.0.9000，运行环境为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Ubuntu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24.04.4、R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4.3.3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3.18。模型规模实验及五数据集保存结果产生于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0.3.1；本稿离线回读这些记录，并另外报告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开发案例、安装包复现和本轮新增场景。版本、命令、UTC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时间、退出码及逐文件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分别进入运行清单。miniACC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和新增场景用于开发应用与工程验证，不标记为冻结的独立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test/gold。</w:t>
      </w:r>
    </w:p>
    <w:p>
      <w:pPr>
        <w:pStyle w:val="Heading2"/>
      </w:pP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统一上下文与事实计算流程</w:t>
      </w:r>
    </w:p>
    <w:p>
      <w:r>
        <w:rPr>
          <w:b w:val="0"/>
          <w:i w:val="0"/>
        </w:rPr>
        <w:t>平台首先依据类及接口分派输入。已测试入口包含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DESeqResults、MArrayLM、TopTags、SummarizedExperiment、SingleCellExperiment、SeuratObject、ExpressionSet、MultiAssayExperiment、prcomp、ggplot，以及符合约定的结果表；其余接口支持范围以安装帮助和数据契约为准。真实来源类可记录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verified_class，用户声明的来源记录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user_declared；列名推测不提升为来源已确认。多系数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拟合要求明确所选系数。</w:t>
      </w:r>
    </w:p>
    <w:p>
      <w:r>
        <w:rPr>
          <w:b w:val="0"/>
          <w:i w:val="0"/>
        </w:rPr>
        <w:t>适配后的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bio_context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包含分析类型、来源类与软件包、来源状态、确定性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facts、有限顶部预览、参数、图形映射和不确定性。当前契约进一步保存研究范围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scope、设计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design、事实描述符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fact_descriptors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和上下文标识。scope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记录数据集、比较、物种、组织、模态与观测层级；design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可记录独立单位、分子/分母和配对方式；描述符为事实标明特征、单位、来源路径、计算规则及完整性。软件能检查被明确提供的信息，不会从缺失字段补造研究设计。</w:t>
      </w:r>
    </w:p>
    <w:p>
      <w:r>
        <w:rPr>
          <w:b w:val="0"/>
          <w:i w:val="0"/>
        </w:rPr>
        <w:t>完整输入用于适用的确定性计算，有界预览只服务展示。差异表达、富集、PCA、单细胞及多模态适配器生成类型相应的标量或结构化事实。大矩阵的某些诊断采用取样或稀疏摘要，相关检查范围保留于输出，不能由局部检查推断全矩阵均无问题。用于解释的上下文与本地原始对象分开保存，原始表达矩阵、样本映射和坐标不作为默认模型载荷。</w:t>
      </w:r>
    </w:p>
    <w:p>
      <w:pPr>
        <w:pStyle w:val="Heading2"/>
      </w:pP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阈值、缺失值及显示精度</w:t>
      </w:r>
    </w:p>
    <w:p>
      <w:r>
        <w:rPr>
          <w:b w:val="0"/>
          <w:i w:val="0"/>
        </w:rPr>
        <w:t>对于给定校正阈值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和效应阈值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τ，差异表达筛选集合为：校正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值及效应非缺失、P_adj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α、且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的特征。上调和下调分别由集合内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的正负确定。特征总数、显著数、上下调数、缺失校正值数均从完整提供的结果表计算。阈值使用严格小于/大于；NA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不作零，也不写为未显著的确定结论。</w:t>
      </w:r>
    </w:p>
    <w:p>
      <w:r>
        <w:rPr>
          <w:b w:val="0"/>
          <w:i w:val="0"/>
        </w:rPr>
        <w:t>校正值沿用上游对象的统计流程；若用户明确要求从原始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值计算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BH，平台记录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computed_BH。只有原始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值的表格保留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raw-only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状态，不生成冒充校正显著性的计数。BH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方法参照既有定义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[14]；DESeq2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独立过滤可导致校正值缺失，应结合其来源解释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[1,15]。用于载荷及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请求的数值保留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位序列化精度，文本显示可另行舍入。PCA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方差比例保存计算精度；表、图和正文中的舍入值不用于替代评分参考值。</w:t>
      </w:r>
    </w:p>
    <w:p>
      <w:pPr>
        <w:pStyle w:val="Heading2"/>
      </w:pP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模型载荷、本地解释与显式预算</w:t>
      </w:r>
    </w:p>
    <w:p>
      <w:r>
        <w:rPr>
          <w:b w:val="0"/>
          <w:i w:val="0"/>
        </w:rPr>
        <w:t>本地模板无需模型连接即可输出数据事实、统计含义、候选生物学解释、不确定性与不能推出的结论。在线模式由用户配置服务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URL、密钥和模型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ID，支持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OpenAI-compatible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Anthropic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Messages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协议。解释入口默认传递完整确定性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facts，并限制顶部预览与其他展示内容；完整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超出显式字符预算时失败并说明原因，当前没有自动全覆盖分块协议。旧接口保留的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兼容策略与历史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direct_bounded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基线不代表当前默认事实载荷。</w:t>
      </w:r>
    </w:p>
    <w:p>
      <w:r>
        <w:rPr>
          <w:b w:val="0"/>
          <w:i w:val="0"/>
        </w:rPr>
        <w:t>递归载荷策略过滤秘密、路径、样本/细胞标识和私有结构，并对公开证据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做结构化过滤；HTTP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清单区分载荷与实际请求体的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bytes/hash，保留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计数。模型仅根据已提供事实组织文字，不承担完整长表重算，也不会自动执行生成代码。工作台默认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English，可切换简体中文；语言选择不改变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事实和判定规则。</w:t>
      </w:r>
    </w:p>
    <w:p>
      <w:pPr>
        <w:pStyle w:val="Heading2"/>
      </w:pP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证据检索与分项声明验证</w:t>
      </w:r>
    </w:p>
    <w:p>
      <w:r>
        <w:rPr>
          <w:b w:val="0"/>
          <w:i w:val="0"/>
        </w:rPr>
        <w:t>证据检索由用户显式开启，可连接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PMC、QuickGO、Reactome、KEGG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UniProt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[16–20]。证据对象保留来源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ID、标题、URL、访问时间、提供方式、scope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与角色。检索命中、数据库注释、候选支持关系与专家确认是不同状态；平台不把题名命中自动当作论断已获支持。</w:t>
      </w:r>
    </w:p>
    <w:p>
      <w:r>
        <w:rPr>
          <w:b w:val="0"/>
          <w:i w:val="0"/>
        </w:rPr>
        <w:t>显式声明验证接收上下文、声明及给定证据集合，检查事实路径、值类型、数值、方向、单位和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scope。历史机制实验使用非零参考值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  <w:vertAlign w:val="superscript"/>
        </w:rPr>
        <w:t>-6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相对容差，参考为零时使用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  <w:vertAlign w:val="superscript"/>
        </w:rPr>
        <w:t>-6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绝对容差，字符串精确匹配；有界顶部表路径对应保存的预览值。当前类型化声明及证据关系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参与总体状态，旧兼容判定单独保留。不存在值或范围不足时为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partial/unverified，而非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pass。引用闭集检查只判断引用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是否来自已提供集合，不证明文章支持论断；未声明自由文本不因数值通过而获得整体认证。</w:t>
      </w:r>
    </w:p>
    <w:p>
      <w:pPr>
        <w:pStyle w:val="Heading2"/>
      </w:pP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图形、代码记录与修复不变量</w:t>
      </w:r>
    </w:p>
    <w:p>
      <w:r>
        <w:rPr>
          <w:b w:val="0"/>
          <w:i w:val="0"/>
        </w:rPr>
        <w:t>基于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ggplot2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的图形接口提供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PCA、UMAP/已有嵌入、富集气泡图与热图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[21]。图形核对使用明确的源对象：火山图比较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ID/可配对行的效应和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值来源；PCA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比较坐标、方差比例和轴标签；富集图比较条目、比例、Count、颜色和大小。允许预期子集必须显式指定。不能配对或超出支持图层范围时为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not_checkable。判定针对标度和坐标变换前的映射值，不覆盖所有像素、裁剪或人工注释。</w:t>
      </w:r>
    </w:p>
    <w:p>
      <w:r>
        <w:rPr>
          <w:b w:val="0"/>
          <w:i w:val="0"/>
        </w:rPr>
        <w:t>用户代码通过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bio_record_code()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保存状态、警告、错误现场调用栈、对象摘要和软件调用表达式。显式提交的修复代码在独立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进程执行，并核对预先指定的类型、行数或因子水平等不变量；未设置不变量时仅记录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runtime_only。独立进程分隔会话状态，但不是操作系统沙箱。本文分别保存可运行且保持参照水平、可运行但反转参照水平的挑战，评价“可运行”与“满足指定条件”的区别。</w:t>
      </w:r>
    </w:p>
    <w:p>
      <w:pPr>
        <w:pStyle w:val="Heading2"/>
      </w:pPr>
      <w:r>
        <w:rPr>
          <w:b w:val="0"/>
          <w:i w:val="0"/>
        </w:rPr>
        <w:t>S7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多模态覆盖、依赖及明确方向关系</w:t>
      </w:r>
    </w:p>
    <w:p>
      <w:r>
        <w:rPr>
          <w:b w:val="0"/>
          <w:i w:val="0"/>
        </w:rPr>
        <w:t>样本映射使用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modality、source_id、biological_unit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三个必需字段，并显式记录技术重复角色。验证器重新核对已构造映射，拒绝缺失/重复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observed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ID，将观测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与映射双侧比较；完整病例集合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primary_units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提供共同分母。输出包括每模态观测/缺失病例、两两交集、全部模态完整病例与未测量病例。映射的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仅说明被核对的对应关系合法，不能解释为所有病例均测齐。</w:t>
      </w:r>
    </w:p>
    <w:p>
      <w:r>
        <w:rPr>
          <w:b w:val="0"/>
          <w:i w:val="0"/>
        </w:rPr>
        <w:t>项目依赖图区分原始来源和派生结果，拒绝循环和未知依赖。方向关系验证针对显式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from/to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事实、共有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feature_id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与预期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same/opposite；先核对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set/comparison/species/tissue/sample_level、分子/分母及特征身份，再比较有限非零效应的符号。零效应或缺失科学范围不自动通过。两种效应可以具有不同量纲，因此这里仅比较符号，不比较绝对幅度；同向也不代表双方显著、机制一致、因果或独立确认。</w:t>
      </w:r>
    </w:p>
    <w:p>
      <w:pPr>
        <w:pStyle w:val="Heading2"/>
      </w:pPr>
      <w:r>
        <w:rPr>
          <w:b w:val="0"/>
          <w:i w:val="0"/>
        </w:rPr>
        <w:t>S8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公开案例及预处理</w:t>
      </w:r>
    </w:p>
    <w:p>
      <w:r>
        <w:rPr>
          <w:b/>
          <w:i w:val="0"/>
        </w:rPr>
        <w:t>airway：配对转录组及阈值敏感性。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1.22.0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的人气道平滑肌地塞米松数据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GSE52778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[22]。保留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rowSums(counts)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的基因，以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cell + 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设计拟合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1.42.0，设置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为参照，比较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untrt；主阈值为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0.05、|log2FC|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1，未执行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shrinkage。效应阈值是结果筛选条件，不是“效应超过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1”的原假设检验。PCA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VST(blind=FALSE)，选择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个最高方差非恒定特征，中心化、不标准化。limma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voom/经验贝叶斯与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准似然流程使用相同过滤和设计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[2,3,23]，各自结果不要求与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显著数相同。本轮从保存的真实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DESeqResults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回读，在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α∈{0.01,0.05,0.10}、τ∈{0,1,2}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九组条件下独立重算五项全表事实（补充表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S2）。</w:t>
      </w:r>
    </w:p>
    <w:p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Reactome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使用带哈希的映射快照，保留人类且位于差异表内的基因；以有注释基因为背景，筛选大小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10–500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的通路，做超几何检验并对全部检验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校正。对象接入和解释不把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显著性直接称作通路激活。</w:t>
      </w:r>
    </w:p>
    <w:p>
      <w:r>
        <w:rPr>
          <w:b/>
          <w:i w:val="0"/>
        </w:rPr>
        <w:t>PBMC3k：单细胞与独立观测单位。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公开过滤矩阵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[24]，保存每细胞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UMI、检测基因和线粒体比例。SCE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SeuratObject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对象均使用同一矩阵及单供体信息。表达按每细胞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缩放后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log1p，选择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个最高方差特征作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PCA，再由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uwot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0.1.16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UMAP，种子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20261004，单线程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[25]。保留全部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2,700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个细胞，线粒体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仅用于图示分组，不实施细胞类型准确率评价或供体间差异推断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[26]。本轮重新核对保存的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是否同时保留细胞数和供体数。</w:t>
      </w:r>
    </w:p>
    <w:p>
      <w:r>
        <w:rPr>
          <w:b/>
          <w:i w:val="0"/>
        </w:rPr>
        <w:t>pasilla、ALL</w:t>
      </w:r>
      <w:r>
        <w:rPr>
          <w:b/>
          <w:i w:val="0"/>
        </w:rPr>
        <w:t xml:space="preserve"> </w:t>
      </w:r>
      <w:r>
        <w:rPr>
          <w:b/>
          <w:i w:val="0"/>
        </w:rPr>
        <w:t>与</w:t>
      </w:r>
      <w:r>
        <w:rPr>
          <w:b/>
          <w:i w:val="0"/>
        </w:rPr>
        <w:t xml:space="preserve"> </w:t>
      </w:r>
      <w:r>
        <w:rPr>
          <w:b/>
          <w:i w:val="0"/>
        </w:rPr>
        <w:t>bladderbatch：补充来源和设计字段。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1.30.0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type + condition</w:t>
      </w:r>
      <w:r>
        <w:rPr>
          <w:b w:val="0"/>
          <w:i w:val="0"/>
        </w:rPr>
        <w:t>，比较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treated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untreated；沿用保存的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α∈{0.01,0.05,0.10}、τ∈{0,1}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六组阈值、五事实核对（补充表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S3）。它未参与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airway/PBMC3k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初始开发，但这里只评价数值摘要，不是独立模型解释质量。ALL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使用固定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归档的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ExpressionSet，检查维度、分组、表型和批次字段，不重拟合差异模型或实施批次校正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[27,28]。</w:t>
      </w:r>
    </w:p>
    <w:p>
      <w:r>
        <w:rPr>
          <w:b/>
          <w:i w:val="0"/>
        </w:rPr>
        <w:t>miniACC：多组学覆盖与方向关系。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MultiAssayExperiment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1.28.0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内置的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TCGA-ACC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缩减对象，原研究出处和对象组织方法分别见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[6,29]。数据包含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个病例和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RNA、拷贝数、RPPA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蛋白、突变、miRNA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五模态。本轮纳入此前保存的开发分析与实际安装包重跑。先校验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sampleMap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与实验列名，再以全部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个病例为分母统计覆盖。在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RNA/蛋白均有测量且分期已知的病例中，stage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I/II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early，III/IV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late；按共有行名选特征，RNA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log2(归一化表达+1)，蛋白保留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RPPA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标准化值。每模态效应为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mean(late)−mean(early)，Wilcoxon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秩和检验使用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exact=FALSE、correct=TRUE，BH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在各模态的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特征内分别计算（补充表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S5）。这不是配对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early/late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的检验：配对指同一病例同时具有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与蛋白，分期组之间是不同病例。分期未随机化，未调整年龄、肿瘤纯度或分子亚型；缩减对象的选择范围不支持新的临床结论。</w:t>
      </w:r>
    </w:p>
    <w:p>
      <w:pPr>
        <w:pStyle w:val="Heading2"/>
      </w:pPr>
      <w:r>
        <w:rPr>
          <w:b w:val="0"/>
          <w:i w:val="0"/>
        </w:rPr>
        <w:t>S9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历史输入消融、双模型及评分规则</w:t>
      </w:r>
    </w:p>
    <w:p>
      <w:r>
        <w:rPr>
          <w:b w:val="0"/>
          <w:i w:val="0"/>
        </w:rPr>
        <w:t>历史主消融使用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个可复现程序案例：差异表达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30、富集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20、PCA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20、SCE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20、细胞组成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15、generic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15；每案例四个标量目标，共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个唯一目标。比较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direct_bounded（有限原始预览）、facts_only（R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全输入计算事实）和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facts_evidence（同一事实加保存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记录）。三方法各重复三轮，共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实际请求、4,320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逐事实评分；每方法分母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1,440。参考事实从完整源对象计算，不使用模型响应。</w:t>
      </w:r>
    </w:p>
    <w:p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deepseek-flash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请求采用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OpenAI-compatible、temperature=0、thinking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disabled、JSON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mode、5,000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输出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上限、120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timeout，瞬时错误最多重试一次。direct_bounded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允许无法判断时返回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ll；它是信息受限基线，不是代码执行代理。匹配率=匹配目标/全部目标，覆盖率=已回答标量/全部目标，已回答准确率=匹配/已回答。未回答记为未完成，不填补。重复共享输入与目标，只作描述性统计，不当作独立生物数据推断。</w:t>
      </w:r>
    </w:p>
    <w:p>
      <w:r>
        <w:rPr>
          <w:b w:val="0"/>
          <w:i w:val="0"/>
        </w:rPr>
        <w:t>双模型共同任务使用相同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目标，StepFun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step-5-preview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deepseek-flash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各调用一轮，temperature=0、最多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输出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token，最终均关闭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response_format=json_object。输入、提示、预算和评分相同，提示要求完整精度小数复制。模型别名无不可变快照，跨时间确定性未获保证。本轮只核对保存响应，不新增在线请求（补充表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S7）。相关工具的保存入口检查涉及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SCE/UMAP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浏览器、GPTCelltype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到提示、ellmer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与本平台的响应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replay；这些不是完整共同任务性能排名。</w:t>
      </w:r>
    </w:p>
    <w:p>
      <w:pPr>
        <w:pStyle w:val="Heading2"/>
      </w:pPr>
      <w:r>
        <w:rPr>
          <w:b w:val="0"/>
          <w:i w:val="0"/>
        </w:rPr>
        <w:t>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机制挑战、新增场景与工程复现</w:t>
      </w:r>
    </w:p>
    <w:p>
      <w:r>
        <w:rPr>
          <w:b w:val="0"/>
          <w:i w:val="0"/>
        </w:rPr>
        <w:t>历史声明挑战在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个事实加证据响应中分别注入错误数字、未知路径、向量值、未知引用及仅路径无值声明，共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项；移除验证器记为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unchecked。图形挑战为三张正确图与六种注入错误；修复挑战为保持/反转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参照水平的两段可运行代码。</w:t>
      </w:r>
    </w:p>
    <w:p>
      <w:r>
        <w:rPr>
          <w:b w:val="0"/>
          <w:i w:val="0"/>
        </w:rPr>
        <w:t>本轮新脚本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research/paper_cn/run_cases.R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从保存公开对象和手算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fixture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执行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个场景（补充表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S8）：阈值核对、单供体保留、正确/错误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PCA、raw-only、完整事实超预算、合法但不完整的映射、观测未映射、病例越界、正确/错误跨模态关系、反转比较、范围缺失以及工作台项目分派。每项事先写明预期状态；错误注入标明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mutation，不作为自然发生率估计。</w:t>
      </w:r>
    </w:p>
    <w:p>
      <w:r>
        <w:rPr>
          <w:b w:val="0"/>
          <w:i w:val="0"/>
        </w:rPr>
        <w:t>工程检查包括源码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testthat、构建包检查、真实安装及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Imports-only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smoke、历史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名称/位置参数、两种协议的实际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bytes/hash、浏览器桌面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1440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与移动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390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像素视口，以及独立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bwrap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边界探针。浏览器以真实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项目检查覆盖、方向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和报告回读，并下载实际生成的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PDF。不同连接各有独立工作区，但仍共享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R/文件/网络权限；bwrap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的独立探针不能用于宣称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Shiny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为多租户沙箱。Python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独立实现从保存长表重算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个效应、符号、覆盖和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BH，未独立重算原始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Wilcoxon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值或从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解码原矩阵（补充表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S9）。</w:t>
      </w:r>
    </w:p>
    <w:p>
      <w:pPr>
        <w:pStyle w:val="Heading2"/>
      </w:pPr>
      <w:r>
        <w:rPr>
          <w:b w:val="0"/>
          <w:i w:val="0"/>
        </w:rPr>
        <w:t>S11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候选固定、外部实验及独立实现复核</w:t>
      </w:r>
    </w:p>
    <w:p>
      <w:r>
        <w:rPr>
          <w:b w:val="0"/>
          <w:i w:val="0"/>
        </w:rPr>
        <w:t>日期：2026-10-08。此方案在读取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GSE34313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的候选基因表达值、拟合或检验前固定；GEO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元数据、原论文和平台注释已用于核实可用性与分析单位，不能称为预注册或完全盲法。</w:t>
      </w:r>
    </w:p>
    <w:p>
      <w:pPr>
        <w:pStyle w:val="Heading2"/>
      </w:pPr>
      <w:r>
        <w:rPr>
          <w:b w:val="0"/>
          <w:i w:val="0"/>
        </w:rPr>
        <w:t>候选和可证伪问题</w:t>
      </w:r>
    </w:p>
    <w:p>
      <w:r>
        <w:rPr>
          <w:b w:val="0"/>
          <w:i w:val="0"/>
        </w:rPr>
        <w:t>发现来源为已保存的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GSE52778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全结果（4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供体、8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文库，</w:t>
      </w:r>
      <w:r>
        <w:rPr>
          <w:rFonts w:ascii="DejaVu Sans Mono" w:hAnsi="DejaVu Sans Mono"/>
          <w:b w:val="0"/>
          <w:i w:val="0"/>
          <w:sz w:val="18"/>
        </w:rPr>
        <w:t>~ cell + dex</w:t>
      </w:r>
      <w:r>
        <w:rPr>
          <w:b w:val="0"/>
          <w:i w:val="0"/>
        </w:rPr>
        <w:t>，trt/untrt）。在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padj &lt; 0.05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且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log2FoldChange &gt; 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的集合中按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升序、feature_id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升序选择第一个特征；不按验证结果替换候选。当前选中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ENSG00000152583，Ensembl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官方记录映射为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SPARCL1。</w:t>
      </w:r>
    </w:p>
    <w:p>
      <w:r>
        <w:rPr>
          <w:b w:val="0"/>
          <w:i w:val="0"/>
        </w:rPr>
        <w:t>待验证陈述：</w:t>
      </w:r>
      <w:r>
        <w:rPr>
          <w:b/>
          <w:i w:val="0"/>
        </w:rPr>
        <w:t>SPARCL1</w:t>
      </w:r>
      <w:r>
        <w:rPr>
          <w:b/>
          <w:i w:val="0"/>
        </w:rPr>
        <w:t xml:space="preserve"> </w:t>
      </w:r>
      <w:r>
        <w:rPr>
          <w:b/>
          <w:i w:val="0"/>
        </w:rPr>
        <w:t>在外部人气道平滑肌地塞米松</w:t>
      </w:r>
      <w:r>
        <w:rPr>
          <w:b/>
          <w:i w:val="0"/>
        </w:rPr>
        <w:t xml:space="preserve"> </w:t>
      </w:r>
      <w:r>
        <w:rPr>
          <w:b/>
          <w:i w:val="0"/>
        </w:rPr>
        <w:t>24</w:t>
      </w:r>
      <w:r>
        <w:rPr>
          <w:b/>
          <w:i w:val="0"/>
        </w:rPr>
        <w:t xml:space="preserve"> </w:t>
      </w:r>
      <w:r>
        <w:rPr>
          <w:b/>
          <w:i w:val="0"/>
        </w:rPr>
        <w:t>小时实验中相对未处理上调。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更深入的候选机制是糖皮质激素响应伴随细胞外基质相关表达改变；仅表达重复不能验证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的功能作用或直接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调控。</w:t>
      </w:r>
    </w:p>
    <w:p>
      <w:pPr>
        <w:pStyle w:val="Heading2"/>
      </w:pPr>
      <w:r>
        <w:rPr>
          <w:b w:val="0"/>
          <w:i w:val="0"/>
        </w:rPr>
        <w:t>外部来源与真实独立性</w:t>
      </w:r>
    </w:p>
    <w:p>
      <w:r>
        <w:rPr>
          <w:b w:val="0"/>
          <w:i w:val="0"/>
        </w:rPr>
        <w:t>GSE34313，GPL6480，Masuno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2011，doi:10.1165/rcmb.2010-0369OC。与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GSE52778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为不同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accession、平台及实验；</w:t>
      </w:r>
      <w:r>
        <w:rPr>
          <w:b/>
          <w:i w:val="0"/>
        </w:rPr>
        <w:t>原论文明确微阵列来自一个</w:t>
      </w:r>
      <w:r>
        <w:rPr>
          <w:b/>
          <w:i w:val="0"/>
        </w:rPr>
        <w:t xml:space="preserve"> </w:t>
      </w:r>
      <w:r>
        <w:rPr>
          <w:b/>
          <w:i w:val="0"/>
        </w:rPr>
        <w:t>HASM</w:t>
      </w:r>
      <w:r>
        <w:rPr>
          <w:b/>
          <w:i w:val="0"/>
        </w:rPr>
        <w:t xml:space="preserve"> </w:t>
      </w:r>
      <w:r>
        <w:rPr>
          <w:b/>
          <w:i w:val="0"/>
        </w:rPr>
        <w:t>细胞系（HASM1）</w:t>
      </w:r>
      <w:r>
        <w:rPr>
          <w:b w:val="0"/>
          <w:i w:val="0"/>
        </w:rPr>
        <w:t>，每组重复不是多个独立供体。未提供与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供体逐人对照，故表述为“外部独立实验初步重复”，不声称供体独立队列或临床验证。</w:t>
      </w:r>
    </w:p>
    <w:p>
      <w:r>
        <w:rPr>
          <w:b w:val="0"/>
          <w:i w:val="0"/>
        </w:rPr>
        <w:t>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当前保留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untreated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4、dex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3、dex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个数组；仅使用已发布矩阵，不重新依据结果排除样本。GEO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说明剔除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个样本，正文方法曾写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个技术异常；两处差异原样记录。样本编号尾缀不作为配对供体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ID。</w:t>
      </w:r>
    </w:p>
    <w:p>
      <w:pPr>
        <w:pStyle w:val="Heading2"/>
      </w:pPr>
      <w:r>
        <w:rPr>
          <w:b w:val="0"/>
          <w:i w:val="0"/>
        </w:rPr>
        <w:t>预定分析</w:t>
      </w:r>
    </w:p>
    <w:p>
      <w:r>
        <w:t xml:space="preserve">1. </w:t>
      </w:r>
      <w:r>
        <w:rPr>
          <w:b w:val="0"/>
          <w:i w:val="0"/>
        </w:rPr>
        <w:t>使用完整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gzip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校验的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matrix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GPL6480.annot.gz；保留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URL、UTC、bytes、SHA-256，避免使用截断下载。</w:t>
      </w:r>
    </w:p>
    <w:p>
      <w:r>
        <w:t xml:space="preserve">2. </w:t>
      </w:r>
      <w:r>
        <w:rPr>
          <w:b w:val="0"/>
          <w:i w:val="0"/>
        </w:rPr>
        <w:t>全量读取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ID_REF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列值，按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GPL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symbol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精确单符号匹配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SPARCL1；所有匹配探针均公开。多探针时每数组取中位数，不选择最显著探针。</w:t>
      </w:r>
    </w:p>
    <w:p>
      <w:r>
        <w:t xml:space="preserve">3. </w:t>
      </w:r>
      <w:r>
        <w:rPr>
          <w:b w:val="0"/>
          <w:i w:val="0"/>
        </w:rPr>
        <w:t>使用发布的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log-scale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值，不再次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log/quantile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normalization；矩阵约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5–17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的值域与发布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文件的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标注相互核对。若无法核实量纲，效应只称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processed-unit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difference。</w:t>
      </w:r>
    </w:p>
    <w:p>
      <w:r>
        <w:t xml:space="preserve">4. </w:t>
      </w:r>
      <w:r>
        <w:rPr>
          <w:b w:val="0"/>
          <w:i w:val="0"/>
        </w:rPr>
        <w:t>主终点为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mean(dex24h) - mean(untreated)</w:t>
      </w:r>
      <w:r>
        <w:rPr>
          <w:b w:val="0"/>
          <w:i w:val="0"/>
        </w:rPr>
        <w:t>，两侧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检验，95%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CI；支持条件为效应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0.05。仅一个预先固定基因和主比较，不将全表候选筛选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值解释为外部验证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值。</w:t>
      </w:r>
    </w:p>
    <w:p>
      <w:r>
        <w:t xml:space="preserve">5. </w:t>
      </w:r>
      <w:r>
        <w:rPr>
          <w:b w:val="0"/>
          <w:i w:val="0"/>
        </w:rPr>
        <w:t>dex4h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为次要描述终点；两个时间点的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校正作为敏感性结果。另对主比较报告所有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C(7,3)=35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组的双侧精确均值差置换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P；该小样本检验仅作敏感性分析。</w:t>
      </w:r>
    </w:p>
    <w:p>
      <w:r>
        <w:t xml:space="preserve">6. </w:t>
      </w:r>
      <w:r>
        <w:rPr>
          <w:b w:val="0"/>
          <w:i w:val="0"/>
        </w:rPr>
        <w:t>Python/SciPy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实际计算；R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使用独立实现从导出测量重算效应、Welch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P/CI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和枚举置换。BioExplainR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接入发现及外部结果、分别保留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dataset/comparison/unit/独立单位，生成离线解释、项目依赖和中英文报告。</w:t>
      </w:r>
    </w:p>
    <w:p>
      <w:r>
        <w:t xml:space="preserve">7. </w:t>
      </w:r>
      <w:r>
        <w:rPr>
          <w:b w:val="0"/>
          <w:i w:val="0"/>
        </w:rPr>
        <w:t>阴性或信息不足均报告，不更换候选、主时间点或阈值。软件状态检查与生物学支持分开记录。</w:t>
      </w:r>
    </w:p>
    <w:p>
      <w:pPr>
        <w:pStyle w:val="Heading2"/>
      </w:pPr>
      <w:r>
        <w:rPr>
          <w:b w:val="0"/>
          <w:i w:val="0"/>
        </w:rPr>
        <w:t>可验证的下一步</w:t>
      </w:r>
    </w:p>
    <w:p>
      <w:r>
        <w:rPr>
          <w:b w:val="0"/>
          <w:i w:val="0"/>
        </w:rPr>
        <w:t>在新增至少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个独立供体的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中，用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qPCR/蛋白检测检验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的剂量与时间响应；用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拮抗/敲低区分直接依赖，再用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干预与基质/增殖测量验证功能。此轮不声称已完成这些实验，也不声称首次发现该基因响应。</w:t>
      </w:r>
    </w:p>
    <w:p>
      <w:r>
        <w:rPr>
          <w:b w:val="0"/>
          <w:i w:val="0"/>
        </w:rPr>
        <w:t>外部数值结果见补充表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S10；Python/SciPy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的十项效应/P/CI/置换值及两项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值相符。BioExplainR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生成两个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scope/unit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明确区分的上下文与项目，报告并不把软件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解释为机制成立。</w:t>
      </w:r>
    </w:p>
    <w:p>
      <w:pPr>
        <w:pStyle w:val="Heading2"/>
      </w:pPr>
      <w:r>
        <w:rPr>
          <w:b w:val="0"/>
          <w:i w:val="0"/>
        </w:rPr>
        <w:t>S12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因子干预及供体级敏感性</w:t>
      </w:r>
    </w:p>
    <w:p>
      <w:r>
        <w:rPr>
          <w:b w:val="0"/>
          <w:i w:val="0"/>
        </w:rPr>
        <w:t>日期：2026-10-08。本方案在本轮读取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GSE146017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的表达矩阵或候选统计结果前保存。已阅读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元数据及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2022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原文，已知实验设计与原文重点；不是预注册或全部资料盲法。既有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airway/GSE34313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结果已知。</w:t>
      </w:r>
    </w:p>
    <w:p>
      <w:pPr>
        <w:pStyle w:val="Heading2"/>
      </w:pPr>
      <w:r>
        <w:rPr>
          <w:b w:val="0"/>
          <w:i w:val="0"/>
        </w:rPr>
        <w:t>科学问题与新颖性</w:t>
      </w:r>
    </w:p>
    <w:p>
      <w:r>
        <w:rPr>
          <w:b w:val="0"/>
          <w:i w:val="0"/>
        </w:rPr>
        <w:t>Himes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2014（doi:10.1371/journal.pone.0099625）表1已经报告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地塞米松响应。本文不把重复上调当作首次发现。补充问题为：</w:t>
      </w:r>
      <w:r>
        <w:rPr>
          <w:b/>
          <w:i w:val="0"/>
        </w:rPr>
        <w:t>SPARCL1</w:t>
      </w:r>
      <w:r>
        <w:rPr>
          <w:b/>
          <w:i w:val="0"/>
        </w:rPr>
        <w:t xml:space="preserve"> </w:t>
      </w:r>
      <w:r>
        <w:rPr>
          <w:b/>
          <w:i w:val="0"/>
        </w:rPr>
        <w:t>的布地奈德响应是否受</w:t>
      </w:r>
      <w:r>
        <w:rPr>
          <w:b/>
          <w:i w:val="0"/>
        </w:rPr>
        <w:t xml:space="preserve"> </w:t>
      </w:r>
      <w:r>
        <w:rPr>
          <w:b/>
          <w:i w:val="0"/>
        </w:rPr>
        <w:t>TNFα</w:t>
      </w:r>
      <w:r>
        <w:rPr>
          <w:b/>
          <w:i w:val="0"/>
        </w:rPr>
        <w:t xml:space="preserve"> </w:t>
      </w:r>
      <w:r>
        <w:rPr>
          <w:b/>
          <w:i w:val="0"/>
        </w:rPr>
        <w:t>环境或</w:t>
      </w:r>
      <w:r>
        <w:rPr>
          <w:b/>
          <w:i w:val="0"/>
        </w:rPr>
        <w:t xml:space="preserve"> </w:t>
      </w:r>
      <w:r>
        <w:rPr>
          <w:b/>
          <w:i w:val="0"/>
        </w:rPr>
        <w:t>CEBPD</w:t>
      </w:r>
      <w:r>
        <w:rPr>
          <w:b/>
          <w:i w:val="0"/>
        </w:rPr>
        <w:t xml:space="preserve"> </w:t>
      </w:r>
      <w:r>
        <w:rPr>
          <w:b/>
          <w:i w:val="0"/>
        </w:rPr>
        <w:t>敲低调节？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若得到支持，贡献为公开干预数据的候选特异性、条件依赖重分析；若不支持，同样报告。</w:t>
      </w:r>
    </w:p>
    <w:p>
      <w:r>
        <w:rPr>
          <w:b w:val="0"/>
          <w:i w:val="0"/>
        </w:rPr>
        <w:t>GSE146017（Kan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2022，doi:10.1186/s12931-022-02119-1）包含四个非哮喘供体、NT/CEBPD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siRNA、vehicle/BUD/TNFα/BUD+TNFα，原始32条件有1个因敲低失败未测序，发布31文库。BUD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nM、TNFα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ng/ml、18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h。这是已发表的实验干预，本文不新增湿实验；不同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不证明与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的供体无重叠。</w:t>
      </w:r>
    </w:p>
    <w:p>
      <w:pPr>
        <w:pStyle w:val="Heading2"/>
      </w:pPr>
      <w:r>
        <w:rPr>
          <w:b w:val="0"/>
          <w:i w:val="0"/>
        </w:rPr>
        <w:t>固定候选、检验与多重性</w:t>
      </w:r>
    </w:p>
    <w:p>
      <w:r>
        <w:t xml:space="preserve">- </w:t>
      </w:r>
      <w:r>
        <w:rPr>
          <w:b w:val="0"/>
          <w:i w:val="0"/>
        </w:rPr>
        <w:t>唯一生物学候选：ENSG00000152583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SPARCL1，延续此前固定规则，不按本轮结果换基因。</w:t>
      </w:r>
    </w:p>
    <w:p>
      <w:r>
        <w:t xml:space="preserve">- </w:t>
      </w:r>
      <w:r>
        <w:rPr>
          <w:b w:val="0"/>
          <w:i w:val="0"/>
        </w:rPr>
        <w:t>全部发布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基因计数与全部31样本用于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DESeq2；仅保留总计数≥10特征，标准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median-ratio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size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factors，默认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dispersion/Wald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拟合，关闭自动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Cook’s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replacement（minReplicatesForReplace=Inf）。基因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去除版本号，重复则停止；不按显著性选择样本、探针或归一化。</w:t>
      </w:r>
    </w:p>
    <w:p>
      <w:r>
        <w:t xml:space="preserve">- </w:t>
      </w:r>
      <w:r>
        <w:rPr>
          <w:b w:val="0"/>
          <w:i w:val="0"/>
        </w:rPr>
        <w:t>设计：</w:t>
      </w:r>
      <w:r>
        <w:rPr>
          <w:rFonts w:ascii="DejaVu Sans Mono" w:hAnsi="DejaVu Sans Mono"/>
          <w:b w:val="0"/>
          <w:i w:val="0"/>
          <w:sz w:val="18"/>
        </w:rPr>
        <w:t>~ donor + kd * bud * tnf</w:t>
      </w:r>
      <w:r>
        <w:rPr>
          <w:b w:val="0"/>
          <w:i w:val="0"/>
        </w:rPr>
        <w:t>，NT、无BUD、无TNF为参考，full-rank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校验。供体为区组，文库不是31个独立人。</w:t>
      </w:r>
    </w:p>
    <w:p>
      <w:r>
        <w:t xml:space="preserve">- </w:t>
      </w:r>
      <w:r>
        <w:rPr>
          <w:b w:val="0"/>
          <w:i w:val="0"/>
        </w:rPr>
        <w:t>三个候选内、双侧预定交互检验组成同一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family（α=0.05）：</w:t>
      </w:r>
    </w:p>
    <w:p>
      <w:r>
        <w:t xml:space="preserve">1. </w:t>
      </w:r>
      <w:r>
        <w:rPr>
          <w:b w:val="0"/>
          <w:i w:val="0"/>
        </w:rPr>
        <w:t>主检验：NT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BUD×TNFα，衡量炎症环境对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响应的差中差。</w:t>
      </w:r>
    </w:p>
    <w:p>
      <w:r>
        <w:t xml:space="preserve">2. </w:t>
      </w:r>
      <w:r>
        <w:rPr>
          <w:b w:val="0"/>
          <w:i w:val="0"/>
        </w:rPr>
        <w:t>次检验：无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TNFα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BUD×CEBPD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敲低，衡量敲低对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响应的差中差。</w:t>
      </w:r>
    </w:p>
    <w:p>
      <w:r>
        <w:t xml:space="preserve">3. </w:t>
      </w:r>
      <w:r>
        <w:rPr>
          <w:b w:val="0"/>
          <w:i w:val="0"/>
        </w:rPr>
        <w:t>次检验：BUD×TNFα×敲低，衡量炎症调节是否随敲低改变。</w:t>
      </w:r>
    </w:p>
    <w:p>
      <w:r>
        <w:t xml:space="preserve">- </w:t>
      </w:r>
      <w:r>
        <w:rPr>
          <w:b w:val="0"/>
          <w:i w:val="0"/>
        </w:rPr>
        <w:t>同时公开四个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log2FC、Wald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与95%CI；用于解释响应，不从“一个显著另一个不显著”推出交互。全基因交互表及各交互的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校正提供探索性背景，不用全表筛选替换候选或主检验。</w:t>
      </w:r>
    </w:p>
    <w:p>
      <w:r>
        <w:t xml:space="preserve">- </w:t>
      </w:r>
      <w:r>
        <w:rPr>
          <w:b w:val="0"/>
          <w:i w:val="0"/>
        </w:rPr>
        <w:t>预定检查基因：CEBPD（敲低效果）、FKBP5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TSC22D3（经典糖皮质激素响应），作为描述性控制，不扩充候选主张。</w:t>
      </w:r>
    </w:p>
    <w:p>
      <w:pPr>
        <w:pStyle w:val="Heading2"/>
      </w:pPr>
      <w:r>
        <w:rPr>
          <w:b w:val="0"/>
          <w:i w:val="0"/>
        </w:rPr>
        <w:t>小样本与实现复核</w:t>
      </w:r>
    </w:p>
    <w:p>
      <w:r>
        <w:rPr>
          <w:b w:val="0"/>
          <w:i w:val="0"/>
        </w:rPr>
        <w:t>从规范化计数计算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log2(count + 1)</w:t>
      </w:r>
      <w:r>
        <w:rPr>
          <w:b w:val="0"/>
          <w:i w:val="0"/>
        </w:rPr>
        <w:t>，按真实供体配对计算上述差中差。完整条件供体纳入对应敏感性分析，缺失不填补；报告每供体值、配对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CI/P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和全部2^n符号翻转的双侧精确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P。若n=4，双侧精确P最小为0.125，故无法作为P&lt;0.05确认；它量化方向稳定性并提醒低独立样本量。该检验依赖供体级对称/可交换符号假设，与计数模型是不同估计量，不要求数值一致。</w:t>
      </w:r>
    </w:p>
    <w:p>
      <w:r>
        <w:rPr>
          <w:b w:val="0"/>
          <w:i w:val="0"/>
        </w:rPr>
        <w:t>R/DESeq2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主拟合；Python/SciPy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从原发布计数复核候选测量、R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size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factors应用、所有供体差中差、t/CI/枚举P和Holm，独立重算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Wald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normal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P/CI及各family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BH。不称Python独立重拟合DESeq2。保留元数据、全部输入、协议/脚本hash、运行UTC、版本及结果hash，输出目录拒绝覆盖。</w:t>
      </w:r>
    </w:p>
    <w:p>
      <w:pPr>
        <w:pStyle w:val="Heading2"/>
      </w:pPr>
      <w:r>
        <w:rPr>
          <w:b w:val="0"/>
          <w:i w:val="0"/>
        </w:rPr>
        <w:t>结论边界</w:t>
      </w:r>
    </w:p>
    <w:p>
      <w:r>
        <w:rPr>
          <w:b w:val="0"/>
          <w:i w:val="0"/>
        </w:rPr>
        <w:t>条件依赖的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响应支持后续机制假设，不证明直接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结合、直接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靶点、SPARCL1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功能、蛋白分泌或临床效应。siRNA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干预可能含间接/脱靶效应；模型控制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donor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基线不消除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donor-specific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不确定性。强结论需新供体、CEBPD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rescue、GR干预及SPARCL1蛋白/基质功能终点。正、负和不确定结果均进入正文。</w:t>
      </w:r>
    </w:p>
    <w:p>
      <w:pPr>
        <w:pStyle w:val="Heading2"/>
      </w:pPr>
      <w:r>
        <w:rPr>
          <w:b w:val="0"/>
          <w:i w:val="0"/>
        </w:rPr>
        <w:t>S13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多供体响应、公开格式及配对修订</w:t>
      </w:r>
    </w:p>
    <w:p>
      <w:r>
        <w:rPr>
          <w:b w:val="0"/>
          <w:i w:val="0"/>
        </w:rPr>
        <w:t>2026-10-08。本方案在本轮读取GSE94335表达值前固定。已知airway/GSE34313响应和GSE146017三交互阴性结果；后者不隐藏、不换候选。已读取GSE94335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series元数据：原设计非哮喘8、致死性哮喘9供体，每供体vehicle/BUD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100nM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24h；使用全部发布PostQC样本，仅完整配对纳入分析。此为后续问题，不是原context方案的预注册延伸。</w:t>
      </w:r>
    </w:p>
    <w:p>
      <w:r>
        <w:rPr>
          <w:b w:val="0"/>
          <w:i w:val="0"/>
        </w:rPr>
        <w:t>唯一候选仍为ENSG00000152583/SPARCL1。原文（PMID30694689）与样本元数据核实病组/供体/处理；不能由accession推断与airway/其他GEO供体无重叠。发布TPM不作为原始计数，不用DESeq2、不重新归一化。固定变换log2(TPM+1)，每供体差值BUD−vehicle；TPM对低表达的伪计数敏感，报告原始值和0.1/0.5伪计数的描述性方向/均值敏感性。</w:t>
      </w:r>
    </w:p>
    <w:p>
      <w:r>
        <w:rPr>
          <w:b w:val="0"/>
          <w:i w:val="0"/>
        </w:rPr>
        <w:t>三个双侧检验组成同一Holm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：非哮喘配对t、致死性哮喘配对t、两组供体差值的Welch检验。分别报告95%CI、全部供体差值和正负方向数；组差不能由一个显著另一不显著推出。两组各全部2^n符号翻转精确P，组差全部C(N,n)分组枚举精确P作为小样本敏感性。组差阴性不证明等效或所有哮喘无耐药。候选已选自其他数据，不将本结果解释为全基因BH显著；全表筛选不用于本问题。</w:t>
      </w:r>
    </w:p>
    <w:p>
      <w:r>
        <w:rPr>
          <w:b w:val="0"/>
          <w:i w:val="0"/>
        </w:rPr>
        <w:t>FKBP5/TSC22D3为描述性响应控制；不检验更多基因以替代候选。R从发布TPM/metadata重新独立计算配对t、Welch、CI、Holm、符号翻转和组间置换；Python负责主计算。冻结UTC/协议/脚本hash早于输入下载和候选检验，输入与结果完整保存。公开来源二次分析，不新增独立招募、湿实验或临床终点。</w:t>
      </w:r>
    </w:p>
    <w:p>
      <w:r>
        <w:rPr>
          <w:b w:val="0"/>
          <w:i w:val="0"/>
        </w:rPr>
        <w:t>本轮核实发布文件和原文补充后，发现必须先处理的设计差异；本记录与执行代码hash在读取候选TPM及统计检验前冻结。</w:t>
      </w:r>
    </w:p>
    <w:p>
      <w:r>
        <w:t xml:space="preserve">1. </w:t>
      </w:r>
      <w:r>
        <w:rPr>
          <w:b w:val="0"/>
          <w:i w:val="0"/>
        </w:rPr>
        <w:t>TPM输入实际是空白分隔的</w:t>
      </w:r>
      <w:r>
        <w:rPr>
          <w:b w:val="0"/>
          <w:i w:val="0"/>
        </w:rPr>
        <w:t xml:space="preserve"> </w:t>
      </w:r>
      <w:r>
        <w:rPr>
          <w:b/>
          <w:i w:val="0"/>
        </w:rPr>
        <w:t>transcript×sample</w:t>
      </w:r>
      <w:r>
        <w:rPr>
          <w:b/>
          <w:i w:val="0"/>
        </w:rPr>
        <w:t xml:space="preserve"> </w:t>
      </w:r>
      <w:r>
        <w:rPr>
          <w:b/>
          <w:i w:val="0"/>
        </w:rPr>
        <w:t>长表</w:t>
      </w:r>
      <w:r>
        <w:rPr>
          <w:b w:val="0"/>
          <w:i w:val="0"/>
        </w:rPr>
        <w:t>，非gene宽表。对唯一候选及两个固定控制，按发布</w:t>
      </w:r>
      <w:r>
        <w:rPr>
          <w:rFonts w:ascii="DejaVu Sans Mono" w:hAnsi="DejaVu Sans Mono"/>
          <w:b w:val="0"/>
          <w:i w:val="0"/>
          <w:sz w:val="18"/>
        </w:rPr>
        <w:t>ens_gene</w:t>
      </w:r>
      <w:r>
        <w:rPr>
          <w:b w:val="0"/>
          <w:i w:val="0"/>
        </w:rPr>
        <w:t>精确匹配并将同基因全部transcript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TPM相加，重复transcript/sample停止；不挑选最高/最显著转录本。</w:t>
      </w:r>
    </w:p>
    <w:p>
      <w:r>
        <w:t xml:space="preserve">2. </w:t>
      </w:r>
      <w:r>
        <w:rPr>
          <w:b w:val="0"/>
          <w:i w:val="0"/>
        </w:rPr>
        <w:t>GEO的</w:t>
      </w:r>
      <w:r>
        <w:rPr>
          <w:rFonts w:ascii="DejaVu Sans Mono" w:hAnsi="DejaVu Sans Mono"/>
          <w:b w:val="0"/>
          <w:i w:val="0"/>
          <w:sz w:val="18"/>
        </w:rPr>
        <w:t>donor</w:t>
      </w:r>
      <w:r>
        <w:rPr>
          <w:b w:val="0"/>
          <w:i w:val="0"/>
        </w:rPr>
        <w:t>字段等于逐文库sample标题，不能配对。原文Supplement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E1（PDF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E9–E10，PDF页9–10）的</w:t>
      </w:r>
      <w:r>
        <w:rPr>
          <w:rFonts w:ascii="DejaVu Sans Mono" w:hAnsi="DejaVu Sans Mono"/>
          <w:b w:val="0"/>
          <w:i w:val="0"/>
          <w:sz w:val="18"/>
        </w:rPr>
        <w:t>Cell Line</w:t>
      </w:r>
      <w:r>
        <w:rPr>
          <w:b w:val="0"/>
          <w:i w:val="0"/>
        </w:rPr>
        <w:t>给出真实供体。逐样本解析原表、与GEO病组/处理/TPM样本名一一核对，不由表达推测配对。</w:t>
      </w:r>
    </w:p>
    <w:p>
      <w:r>
        <w:t xml:space="preserve">3. </w:t>
      </w:r>
      <w:r>
        <w:rPr>
          <w:b w:val="0"/>
          <w:i w:val="0"/>
        </w:rPr>
        <w:t>GEO处理说明明确排除28782低read文库及其匹配vehicle28779；原文说34样本全部可用。实际TPM含34样本，28779/28782不在其中，另有28793/28796，但这两个不在原文Table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E1，且28793的GEO病组为asthma、TPM名为non_asthma。不能假定它们是N012412替代文库或任意配成同供体。预先按设计可核对性排除这两个未能映射的文库，保留</w:t>
      </w:r>
      <w:r>
        <w:rPr>
          <w:b w:val="0"/>
          <w:i w:val="0"/>
        </w:rPr>
        <w:t xml:space="preserve"> </w:t>
      </w:r>
      <w:r>
        <w:rPr>
          <w:b/>
          <w:i w:val="0"/>
        </w:rPr>
        <w:t>32可定位文库、7非哮喘+9致死性哮喘供体</w:t>
      </w:r>
      <w:r>
        <w:rPr>
          <w:b w:val="0"/>
          <w:i w:val="0"/>
        </w:rPr>
        <w:t>；明确这不是全部发布样本、不新增表达/QC排除，候选值尚未检验。统计方法/候选/三个Holm检验不变。</w:t>
      </w:r>
    </w:p>
    <w:p>
      <w:r>
        <w:t xml:space="preserve">4. </w:t>
      </w:r>
      <w:r>
        <w:rPr>
          <w:b w:val="0"/>
          <w:i w:val="0"/>
        </w:rPr>
        <w:t>供体ID显示与GSE146017至少三条培养细胞系一致（N010912、N051911、N061311），所以不能把不同实验合并成独立总供体数。对airway的N61311/N061311等别名仍需逐一核实，现不宣称完全供体独立。</w:t>
      </w:r>
    </w:p>
    <w:p>
      <w:r>
        <w:t xml:space="preserve">5. </w:t>
      </w:r>
      <w:r>
        <w:rPr>
          <w:b w:val="0"/>
          <w:i w:val="0"/>
        </w:rPr>
        <w:t>原2019论文Table3也已报告SPARCL1布地奈德响应。因此本轮定位为供体级响应分布、显式组间差值及负面机制检验的透明重分析，不宣称首次发现基因响应或全新致死性哮喘效应。</w:t>
      </w:r>
    </w:p>
    <w:p>
      <w:pPr>
        <w:pStyle w:val="Heading1"/>
      </w:pPr>
      <w:r>
        <w:rPr>
          <w:b w:val="0"/>
          <w:i w:val="0"/>
        </w:rPr>
        <w:t>补充结果图</w:t>
      </w:r>
    </w:p>
    <w:p>
      <w:r>
        <w:rPr>
          <w:b w:val="0"/>
          <w:i w:val="0"/>
        </w:rPr>
        <w:t>框架图与各结果合图</w:t>
      </w:r>
    </w:p>
    <w:p>
      <w:r>
        <w:rPr>
          <w:b w:val="0"/>
          <w:i w:val="0"/>
        </w:rPr>
        <w:t>合图按正文引用编号排列。每图由四张独立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使用保持矢量内容的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排版方式组成；补充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的本部分直接嵌入合图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PDF，Word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和网页使用其高分辨率预览。框架图包含原创数据库、图形、网络、校验和报告图标；真实页面截图为位图素材，其余框架/统计元素保留矢量。各合图与子图原件见专用目录。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平台框架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S1.</w:t>
      </w:r>
      <w:r>
        <w:rPr>
          <w:b/>
          <w:i w:val="0"/>
        </w:rPr>
        <w:t xml:space="preserve"> </w:t>
      </w:r>
      <w:r>
        <w:rPr>
          <w:b/>
          <w:i w:val="0"/>
        </w:rPr>
        <w:t>从已有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对象到可追踪解释的</w:t>
      </w:r>
      <w:r>
        <w:rPr>
          <w:b/>
          <w:i w:val="0"/>
        </w:rPr>
        <w:t xml:space="preserve"> </w:t>
      </w:r>
      <w:r>
        <w:rPr>
          <w:b/>
          <w:i w:val="0"/>
        </w:rPr>
        <w:t>BioExplainR</w:t>
      </w:r>
      <w:r>
        <w:rPr>
          <w:b/>
          <w:i w:val="0"/>
        </w:rPr>
        <w:t xml:space="preserve"> </w:t>
      </w:r>
      <w:r>
        <w:rPr>
          <w:b/>
          <w:i w:val="0"/>
        </w:rPr>
        <w:t>框架。</w:t>
      </w:r>
      <w:r>
        <w:rPr>
          <w:b w:val="0"/>
          <w:i w:val="0"/>
        </w:rPr>
        <w:t>（A）以数据库、统计图、网络、校验和文档图标展示对象→确定性事实→可选语言→分项检查→输出流程；（B）本地计算与模型载荷边界，完整标量事实超预算时明确失败；（C）pass、fail、partial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unverified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的独立状态；（D）源队列及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RNA/蛋白派生结果的依赖关系。同一来源的结果不能当作独立确认。合图原件：</w:t>
      </w:r>
      <w:r>
        <w:rPr>
          <w:rFonts w:ascii="DejaVu Sans Mono" w:hAnsi="DejaVu Sans Mono"/>
          <w:b w:val="0"/>
          <w:i w:val="0"/>
          <w:sz w:val="18"/>
        </w:rPr>
        <w:t>figures/composites/Figure_1.pdf</w:t>
      </w:r>
      <w:r>
        <w:rPr>
          <w:b w:val="0"/>
          <w:i w:val="0"/>
        </w:rPr>
        <w:t>；子图：</w:t>
      </w:r>
      <w:r>
        <w:rPr>
          <w:rFonts w:ascii="DejaVu Sans Mono" w:hAnsi="DejaVu Sans Mono"/>
          <w:b w:val="0"/>
          <w:i w:val="0"/>
          <w:sz w:val="18"/>
        </w:rPr>
        <w:t>figures/panels/Figure_1A.pdf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至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Figure_1D.pdf</w:t>
      </w:r>
      <w:r>
        <w:rPr>
          <w:b w:val="0"/>
          <w:i w:val="0"/>
        </w:rPr>
        <w:t>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配对转录组案例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S2.</w:t>
      </w:r>
      <w:r>
        <w:rPr>
          <w:b/>
          <w:i w:val="0"/>
        </w:rPr>
        <w:t xml:space="preserve"> </w:t>
      </w:r>
      <w:r>
        <w:rPr>
          <w:b/>
          <w:i w:val="0"/>
        </w:rPr>
        <w:t>airway</w:t>
      </w:r>
      <w:r>
        <w:rPr>
          <w:b/>
          <w:i w:val="0"/>
        </w:rPr>
        <w:t xml:space="preserve"> </w:t>
      </w:r>
      <w:r>
        <w:rPr>
          <w:b/>
          <w:i w:val="0"/>
        </w:rPr>
        <w:t>的全表统计、配对结构与阈值敏感性。</w:t>
      </w:r>
      <w:r>
        <w:rPr>
          <w:b w:val="0"/>
          <w:i w:val="0"/>
        </w:rPr>
        <w:t>（A）trt/untrt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火山图，主阈值为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0.05、|log2FC|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1，999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个显著特征中上调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519、下调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480；（B）VST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个高方差特征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PCA，PC1/PC2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47.8429%/23.3834%，连接线对应四个供体内的配对文库；（C）九组阈值的显著数轨迹，五事实×九条件均与直接源表相符；（D）DESeq2、limma、edgeR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方法各自的显著数。图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文库不是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独立供体；图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不构成方法优劣排名。原件：</w:t>
      </w:r>
      <w:r>
        <w:rPr>
          <w:rFonts w:ascii="DejaVu Sans Mono" w:hAnsi="DejaVu Sans Mono"/>
          <w:b w:val="0"/>
          <w:i w:val="0"/>
          <w:sz w:val="18"/>
        </w:rPr>
        <w:t>figures/composites/Figure_2.pdf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figures/panels/Figure_2[A-D].pdf</w:t>
      </w:r>
      <w:r>
        <w:rPr>
          <w:b w:val="0"/>
          <w:i w:val="0"/>
        </w:rPr>
        <w:t>。数值来源见补充表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及数据清单。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单细胞与微阵列案例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S3.</w:t>
      </w:r>
      <w:r>
        <w:rPr>
          <w:b/>
          <w:i w:val="0"/>
        </w:rPr>
        <w:t xml:space="preserve"> </w:t>
      </w:r>
      <w:r>
        <w:rPr>
          <w:b/>
          <w:i w:val="0"/>
        </w:rPr>
        <w:t>细胞、供体和设计字段的分层摘要。</w:t>
      </w:r>
      <w:r>
        <w:rPr>
          <w:b w:val="0"/>
          <w:i w:val="0"/>
        </w:rPr>
        <w:t>（A）PBMC3k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UMAP，以线粒体比例≤5%/&gt;5%着色；（B）线粒体比例分布及展示阈值，未据此排除细胞；（C）2,700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细胞、32,738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特征与单供体的不同层级；（D）ALL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样本量及表型/批次字段摘要。QC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颜色不是细胞类型，UMAP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不用于推断供体间差异；微阵列摘要不是批次校正结果。原件：</w:t>
      </w:r>
      <w:r>
        <w:rPr>
          <w:rFonts w:ascii="DejaVu Sans Mono" w:hAnsi="DejaVu Sans Mono"/>
          <w:b w:val="0"/>
          <w:i w:val="0"/>
          <w:sz w:val="18"/>
        </w:rPr>
        <w:t>figures/composites/Figure_3.pdf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figures/panels/Figure_3[A-D].pdf</w:t>
      </w:r>
      <w:r>
        <w:rPr>
          <w:b w:val="0"/>
          <w:i w:val="0"/>
        </w:rPr>
        <w:t>。来源见补充表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数值基准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S4.</w:t>
      </w:r>
      <w:r>
        <w:rPr>
          <w:b/>
          <w:i w:val="0"/>
        </w:rPr>
        <w:t xml:space="preserve"> </w:t>
      </w:r>
      <w:r>
        <w:rPr>
          <w:b/>
          <w:i w:val="0"/>
        </w:rPr>
        <w:t>pasilla</w:t>
      </w:r>
      <w:r>
        <w:rPr>
          <w:b/>
          <w:i w:val="0"/>
        </w:rPr>
        <w:t xml:space="preserve"> </w:t>
      </w:r>
      <w:r>
        <w:rPr>
          <w:b/>
          <w:i w:val="0"/>
        </w:rPr>
        <w:t>独立来源的保存数值核对。</w:t>
      </w:r>
      <w:r>
        <w:rPr>
          <w:b w:val="0"/>
          <w:i w:val="0"/>
        </w:rPr>
        <w:t>（A）保存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PCA；（B）treated/untreated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火山图；（C）主阈值下上调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108、下调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110，共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218；（D）六组阈值的显著数，30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项源表事实均一致。分析设计为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type + condition</w:t>
      </w:r>
      <w:r>
        <w:rPr>
          <w:b w:val="0"/>
          <w:i w:val="0"/>
        </w:rPr>
        <w:t>，校正值缺失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5,800；本轮回读保存结果，没有重拟合上游模型。原件：</w:t>
      </w:r>
      <w:r>
        <w:rPr>
          <w:rFonts w:ascii="DejaVu Sans Mono" w:hAnsi="DejaVu Sans Mono"/>
          <w:b w:val="0"/>
          <w:i w:val="0"/>
          <w:sz w:val="18"/>
        </w:rPr>
        <w:t>figures/composites/Figure_4.pdf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figures/panels/Figure_4[A-D].pdf</w:t>
      </w:r>
      <w:r>
        <w:rPr>
          <w:b w:val="0"/>
          <w:i w:val="0"/>
        </w:rPr>
        <w:t>。逐项数据见补充表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多组学案例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S5.</w:t>
      </w:r>
      <w:r>
        <w:rPr>
          <w:b/>
          <w:i w:val="0"/>
        </w:rPr>
        <w:t xml:space="preserve"> </w:t>
      </w:r>
      <w:r>
        <w:rPr>
          <w:b/>
          <w:i w:val="0"/>
        </w:rPr>
        <w:t>多组学覆盖、方向与显著性的分离展示。</w:t>
      </w:r>
      <w:r>
        <w:rPr>
          <w:b w:val="0"/>
          <w:i w:val="0"/>
        </w:rPr>
        <w:t>（A）92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病例分母下各模态覆盖，灰段为未测量，五模态完整病例为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43；（B）33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共有特征的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与蛋白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late−early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效应，18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同向、15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反向；（C）两模态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校正值，特征按字母顺序，RNA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3/33、蛋白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0/33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通过0.05；（D）46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配对测量病例的分期组，early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28、late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18。RNA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RPPA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单位不同，图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只核对符号、不比较效应幅度。分期组不配对、不随机化；同病例跨模态测量和符号一致不建立独立证据或因果。原件：</w:t>
      </w:r>
      <w:r>
        <w:rPr>
          <w:rFonts w:ascii="DejaVu Sans Mono" w:hAnsi="DejaVu Sans Mono"/>
          <w:b w:val="0"/>
          <w:i w:val="0"/>
          <w:sz w:val="18"/>
        </w:rPr>
        <w:t>figures/composites/Figure_5.pdf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figures/panels/Figure_5[A-D].pdf</w:t>
      </w:r>
      <w:r>
        <w:rPr>
          <w:b w:val="0"/>
          <w:i w:val="0"/>
        </w:rPr>
        <w:t>。数值见补充表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S4–S5。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模型事实传递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S6.</w:t>
      </w:r>
      <w:r>
        <w:rPr>
          <w:b/>
          <w:i w:val="0"/>
        </w:rPr>
        <w:t xml:space="preserve"> </w:t>
      </w:r>
      <w:r>
        <w:rPr>
          <w:b/>
          <w:i w:val="0"/>
        </w:rPr>
        <w:t>固定目标事实的输入消融与双模型协议结果。</w:t>
      </w:r>
      <w:r>
        <w:rPr>
          <w:b w:val="0"/>
          <w:i w:val="0"/>
        </w:rPr>
        <w:t>（A）三输入总体匹配率；（B）覆盖与已回答准确率；（C）六功能家族匹配率；（D）相同输入下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StepFun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各匹配480/480。A–C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120程序案例、480唯一事实、三方法×三重复，共1,080请求与4,320评分；D各模型120请求，不与主消融分母相加。100%是R目标已显式提供后的结构化传递终点，有界raw缺少完整信息；不是自由文本正确率、独立推理或生物学泛化。全部为0.3.1保存记录，本轮没有在线调用。原件：</w:t>
      </w:r>
      <w:r>
        <w:rPr>
          <w:rFonts w:ascii="DejaVu Sans Mono" w:hAnsi="DejaVu Sans Mono"/>
          <w:b w:val="0"/>
          <w:i w:val="0"/>
          <w:sz w:val="18"/>
        </w:rPr>
        <w:t>figures/composites/Figure_6.pdf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figures/panels/Figure_6[A-D].pdf</w:t>
      </w:r>
      <w:r>
        <w:rPr>
          <w:b w:val="0"/>
          <w:i w:val="0"/>
        </w:rPr>
        <w:t>。数据见补充表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S6–S7。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受控错误与新增场景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S7.</w:t>
      </w:r>
      <w:r>
        <w:rPr>
          <w:b/>
          <w:i w:val="0"/>
        </w:rPr>
        <w:t xml:space="preserve"> </w:t>
      </w:r>
      <w:r>
        <w:rPr>
          <w:b/>
          <w:i w:val="0"/>
        </w:rPr>
        <w:t>分项验证拒绝明确违例并保留信息不足状态。</w:t>
      </w:r>
      <w:r>
        <w:rPr>
          <w:b w:val="0"/>
          <w:i w:val="0"/>
        </w:rPr>
        <w:t>（A）历史声明72个明确错误fail、18个仅路径partial；（B）3正确图pass、6注入错误fail；（C）本轮15场景按预期返回pass/fail/partial/unverified，合计15/15；（D）参照保持与反转代码均可运行，但仅前者满足不变量。A、B、D为历史机制记录，C为本轮实际运行；数值不合并为自然错误率或一般修复成功率。原件：</w:t>
      </w:r>
      <w:r>
        <w:rPr>
          <w:rFonts w:ascii="DejaVu Sans Mono" w:hAnsi="DejaVu Sans Mono"/>
          <w:b w:val="0"/>
          <w:i w:val="0"/>
          <w:sz w:val="18"/>
        </w:rPr>
        <w:t>figures/composites/Figure_7.pdf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figures/panels/Figure_7[A-D].pdf</w:t>
      </w:r>
      <w:r>
        <w:rPr>
          <w:b w:val="0"/>
          <w:i w:val="0"/>
        </w:rPr>
        <w:t>。新增场景列表见补充表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工作台与工程验收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S8.</w:t>
      </w:r>
      <w:r>
        <w:rPr>
          <w:b/>
          <w:i w:val="0"/>
        </w:rPr>
        <w:t xml:space="preserve"> </w:t>
      </w:r>
      <w:r>
        <w:rPr>
          <w:b/>
          <w:i w:val="0"/>
        </w:rPr>
        <w:t>项目分析到论文图</w:t>
      </w:r>
      <w:r>
        <w:rPr>
          <w:b/>
          <w:i w:val="0"/>
        </w:rPr>
        <w:t xml:space="preserve"> </w:t>
      </w:r>
      <w:r>
        <w:rPr>
          <w:b/>
          <w:i w:val="0"/>
        </w:rPr>
        <w:t>PDF</w:t>
      </w:r>
      <w:r>
        <w:rPr>
          <w:b/>
          <w:i w:val="0"/>
        </w:rPr>
        <w:t xml:space="preserve"> </w:t>
      </w:r>
      <w:r>
        <w:rPr>
          <w:b/>
          <w:i w:val="0"/>
        </w:rPr>
        <w:t>导出的实际工作流。</w:t>
      </w:r>
      <w:r>
        <w:rPr>
          <w:b w:val="0"/>
          <w:i w:val="0"/>
        </w:rPr>
        <w:t>（A）真实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项目的中文桌面页面；（B）同项目移动视口，宽表在容器内滚动；（C）浏览器实际下载的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Cairo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回读预览，该图为手算工程输入，不是生物数据结果；（D）源码、安装及浏览器的分层检查。截图裁剪自自动化保存页面，未重绘页面。项目展示保留覆盖与方向findings，下载报告使用同一项目；不同浏览器工作区独立仍不等于多租户安全沙箱。原件：</w:t>
      </w:r>
      <w:r>
        <w:rPr>
          <w:rFonts w:ascii="DejaVu Sans Mono" w:hAnsi="DejaVu Sans Mono"/>
          <w:b w:val="0"/>
          <w:i w:val="0"/>
          <w:sz w:val="18"/>
        </w:rPr>
        <w:t>figures/composites/Figure_8.pdf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figures/panels/Figure_8[A-D].pdf</w:t>
      </w:r>
      <w:r>
        <w:rPr>
          <w:b w:val="0"/>
          <w:i w:val="0"/>
        </w:rPr>
        <w:t>。验收范围见补充表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S9。</w:t>
      </w:r>
    </w:p>
    <w:p>
      <w:pPr>
        <w:pStyle w:val="Heading1"/>
      </w:pPr>
      <w:r>
        <w:rPr>
          <w:b w:val="0"/>
          <w:i w:val="0"/>
        </w:rPr>
        <w:t>补充结果表</w:t>
      </w:r>
    </w:p>
    <w:p>
      <w:r>
        <w:rPr>
          <w:b w:val="0"/>
          <w:i w:val="0"/>
        </w:rPr>
        <w:t>外置表格的表题、表注与来源</w:t>
      </w:r>
    </w:p>
    <w:p>
      <w:r>
        <w:rPr>
          <w:b w:val="0"/>
          <w:i w:val="0"/>
        </w:rPr>
        <w:t>本附录仅保留表题和说明，不插入表格数据。补充表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S1–9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XLSX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UTF-8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逐一保存在本稿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目录；每个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XLSX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另含“图表说明与来源”工作表。正文引用使用相同编号。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案例数据、版本与分析边界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列出六个公开数据来源、所测对象/软件版本、规模与各自任务。airway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为8文库/4供体，PBMC3k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为2,700细胞/1供体，miniACC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为92病例；不同观测单位和任务不合并为研究样本量。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data_manifest.json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public_datasets/dataset_tests.json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miniacc_installed_review/summary.json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tables/Table_S1.xlsx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tables/Table_S1.csv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阈值敏感性及适配器核对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α为0.01/0.05/0.10、τ为0/1/2，共九组合，每组合核对特征数、显著数、上/下调数与缺失校正值；45项全部一致。筛选使用P_adj&lt;α与|log2FC|&gt;τ，NA不作零。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paper_cn_cases_v1/airway_threshold_checks.csv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tables/Table_S2.xlsx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tables/Table_S2.csv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独立来源数值事实核对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六阈值组合×五事实=30项，保存适配器值与直接源表值一致。仅评价数值事实，不代表独立模型解释评价；本轮未重拟合pasilla。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related_tools/pasilla_fact_checks.csv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tables/Table_S3.xlsx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tables/Table_S3.csv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模态覆盖及统一分母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每模态观测/缺失病例以完整92病例为共同分母，完全观测43、未观测0。合法映射的pass不表示模态齐全；两个模态的交集另存项目结果。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miniacc_installed_review/modality_coverage.csv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alignment_summary.json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tables/Table_S4.xlsx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tables/Table_S4.csv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33特征效应、方向及显著性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46病例（early28/late18）中效应为late均值−early均值；RNA单位为log2(归一化表达+1)，蛋白为原RPPA单位。Wilcoxon使用渐近及连续性校正，BH按各模态33特征分别计算。same/opposite为符号关系，不替代P值、机制或独立证据。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miniacc_installed_review/feature_results.csv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tables/Table_S5.xlsx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tables/Table_S5.csv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保存的主消融实验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每方法360请求、1,440目标评分，总1,080请求/4,320评分。匹配率、覆盖和已回答准确率分母分别为全部目标、全部目标、已回答目标；不把重复当独立生物数据。raw为信息受限基线，facts为目标显式提供后的传递。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main_scale_480/ablation_summary.csv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tables/Table_S6.xlsx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tables/Table_S6.csv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六类功能家族与双模型事实传递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前18行汇总六家族×三方法的主消融；后两行分别为StepFun与DeepSeek单轮的480目标。不同实验分母分开解释，未配置代理和缺失replay不进入API请求数。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main_scale_480/family_summary.csv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common_task_scale_480/common_task_summary.csv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tables/Table_S7.xlsx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tables/Table_S7.csv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新增开发场景的期望状态与实际状态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15场景均按预期；每行标明来源、目的、期望和实际状态。controlled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mutation为人为注入，hand-computable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fixture为手算工程样例，两者均不当作自然生物学样本。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paper_cn_cases_v1/scenario_checks.csv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tables/Table_S8.xlsx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tables/Table_S8.csv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工程验收与复现层级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本轮源码、包和浏览器日志与此前安装/API/miniACC数值复核分别注明。74/74只为历史名称/位置参数，Python复核未独立重算Wilcoxon原始P。工程pass不表示专家、用户或科学泛化结果。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w00_baseline/paper-cn-*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review-*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与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REVIEW_CONTINUATION.md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tables/Table_S9.xlsx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tables/Table_S9.csv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外部实验与重算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24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小时为主比较，4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小时为次要比较；两侧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Welch、95%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CI、两个时间点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Holm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值和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35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种分组枚举置换分别提供。培养重复来自同一细胞系，不作为独立供体。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research/results/discovery_sparcl1_v1/validation_results.csv</w:t>
      </w:r>
      <w:r>
        <w:rPr>
          <w:b w:val="0"/>
          <w:i w:val="0"/>
          <w:sz w:val="18"/>
        </w:rPr>
        <w:t>、公开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GEO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输入及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r_numeric_checks.csv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tables/Table_S10.csv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tables/Table_S10.xlsx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与固定控制的因子模型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全31文库、4供体；32行包括四基因×八比较。三候选交互采用同一Holm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family；各全基因交互BH背景另保存在结果目录。未校正simple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effects仅用于解释，低表达SPARCL1可能被全基因独立过滤。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discovery_context_v1/model_results.csv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多供体配对及组间响应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7非哮喘/9致死性哮喘供体，响应为log2(全部同基因transcript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TPM之和+1)供体内差值。三检验Holm、128/512符号翻转、11,440组间枚举分别提供。组差阴性不证明等效。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discovery_donors_v1/results.csv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全部可核对供体效应与伪计数敏感性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三固定基因×16供体，提供原TPM和伪计数1/0.5/0.1下响应。配对来自原论文Table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E1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Cell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Line，逐样本映射见结果目录samples.csv。28793/28796无法核对配对，先于候选检验排除；不补造N012412两文库。两后续实验至少三供体细胞系同ID，不相加独立供体数。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discovery_donors_v1/donor_effects.csv</w:t>
      </w:r>
      <w:r>
        <w:rPr>
          <w:b w:val="0"/>
          <w:i w:val="0"/>
          <w:sz w:val="18"/>
        </w:rPr>
        <w:t>。</w:t>
      </w:r>
    </w:p>
    <w:p>
      <w:pPr>
        <w:pStyle w:val="Heading1"/>
      </w:pPr>
      <w:r>
        <w:rPr>
          <w:b w:val="0"/>
          <w:i w:val="0"/>
        </w:rPr>
        <w:t>后续研究与投稿信息</w:t>
      </w:r>
    </w:p>
    <w:p>
      <w:r>
        <w:rPr>
          <w:b w:val="0"/>
          <w:i w:val="0"/>
        </w:rPr>
        <w:t>真实作者、基金、伦理、独立专家评价与人工图稿审阅待负责人确认；用户研究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deferred。DOI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只有归档平台实际签发后填写。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Noto Sans CJK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  <w:numPr>
        <w:numId w:val="0"/>
      </w:numPr>
    </w:pPr>
    <w:rPr>
      <w:rFonts w:ascii="Calibri" w:hAnsi="Calibri" w:eastAsia="Noto Sans CJK SC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  <w:numPr>
        <w:numId w:val="0"/>
      </w:numPr>
    </w:pPr>
    <w:rPr>
      <w:rFonts w:ascii="Calibri" w:hAnsi="Calibri" w:eastAsia="Noto Sans CJK SC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  <w:numPr>
        <w:numId w:val="0"/>
      </w:numPr>
    </w:pPr>
    <w:rPr>
      <w:rFonts w:ascii="Calibri" w:hAnsi="Calibri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="Calibri" w:hAnsi="Calibri" w:eastAsia="Noto Sans CJK SC"/>
      <w:color w:val="2020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Calibri" w:hAnsi="Calibri" w:eastAsia="Noto Sans CJK SC"/>
      <w:i/>
      <w:iCs/>
      <w:color w:val="2020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