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气道平滑肌跨背景糖皮质激素响应与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暴露时长相关差异：基于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的可追溯公共数据重分析</w:t>
      </w:r>
    </w:p>
    <w:p>
      <w:pPr>
        <w:pStyle w:val="Subtitle"/>
      </w:pP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生物学主线初稿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</w:p>
    <w:p>
      <w:pPr/>
      <w:r>
        <w:rPr>
          <w:b w:val="0"/>
          <w:i w:val="0"/>
        </w:rPr>
        <w:t>2026-10-09</w:t>
      </w:r>
    </w:p>
    <w:p>
      <w:r>
        <w:rPr>
          <w:b/>
          <w:i w:val="0"/>
        </w:rPr>
        <w:t>作者、单位与通讯作者：</w:t>
      </w:r>
      <w:r>
        <w:rPr>
          <w:b w:val="0"/>
          <w:i w:val="0"/>
        </w:rPr>
        <w:t>［待填写］</w:t>
      </w:r>
    </w:p>
    <w:p>
      <w:pPr>
        <w:pStyle w:val="Heading1"/>
      </w:pPr>
      <w:r>
        <w:rPr>
          <w:b w:val="0"/>
          <w:i w:val="0"/>
        </w:rPr>
        <w:t>摘要</w:t>
      </w:r>
    </w:p>
    <w:p>
      <w:r>
        <w:rPr>
          <w:b/>
          <w:i w:val="0"/>
        </w:rPr>
        <w:t>目的：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识别在炎症与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干预背景中保持方向的糖皮质激素转录响应，并以供体配对、受体药理干预及暴露时长比较界定可验证的生物学线索。</w:t>
      </w:r>
    </w:p>
    <w:p>
      <w:r>
        <w:rPr>
          <w:b/>
          <w:i w:val="0"/>
        </w:rPr>
        <w:t>方法：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重分析四项公开实验。GSE146017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供体、31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因子模型及独立实现的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TMM/voom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模型；全基因交互与四背景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分别统一校正。根据效应、两模型一致性、供体方向和留一供体结果筛选并冻结前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个候选。GSE94335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根据原论文补充表恢复配对，排除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个已知重叠细胞系后，在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供体中检验响应。GSE229084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药理干预和单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细胞系暴露时长比较。BioExplainR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保存全表事实、研究单位及项目报告。</w:t>
      </w:r>
    </w:p>
    <w:p>
      <w:r>
        <w:rPr>
          <w:b/>
          <w:i w:val="0"/>
        </w:rPr>
        <w:t>结果：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82,227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项交互无一通过统一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BH；另有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基因满足四背景响应筛选，固定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候选中的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个可测基因均在外部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供体合并响应中通过参数与精确符号翻转的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校正，1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个缺测保留分母。PER2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在四背景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−2.108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−1.441，外部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13/13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供体下调，平均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log2(TPM+1)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−0.915（95%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−1.048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−0.782；Holm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P=1.55×10</w:t>
      </w:r>
      <w:r>
        <w:rPr>
          <w:b w:val="0"/>
          <w:i w:val="0"/>
          <w:vertAlign w:val="superscript"/>
        </w:rPr>
        <w:t>-7</w:t>
      </w:r>
      <w:r>
        <w:rPr>
          <w:b w:val="0"/>
          <w:i w:val="0"/>
        </w:rPr>
        <w:t>）。A549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暴露效应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+1.092，三项药物交互均削弱该响应；18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暴露条件差为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−0.917（Holm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P=1.45×10</w:t>
      </w:r>
      <w:r>
        <w:rPr>
          <w:b w:val="0"/>
          <w:i w:val="0"/>
          <w:vertAlign w:val="superscript"/>
        </w:rPr>
        <w:t>-9</w:t>
      </w:r>
      <w:r>
        <w:rPr>
          <w:b w:val="0"/>
          <w:i w:val="0"/>
        </w:rPr>
        <w:t>）。HASM1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条件差为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−1.651（Holm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P=0.0139），但全家族精确置换未确认。METTL7A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均在外部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13/13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供体上调，并有较长暴露条件下更高表达的探索性证据。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公共数据支持候选特异的跨背景表达响应及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暴露时长／实验条件相关差异。新增价值是固定筛选、重叠供体排除和可定位证据整合；不主张首次发现激素调节生物钟。受体依赖的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机制、节律相位／振幅及蛋白和功能效应仍需独立实验。</w:t>
      </w:r>
    </w:p>
    <w:p>
      <w:r>
        <w:rPr>
          <w:b/>
          <w:i w:val="0"/>
        </w:rPr>
        <w:t>关键词：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气道平滑肌；糖皮质激素；PER2；暴露时长；供体配对；可追溯重分析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引言</w:t>
      </w:r>
    </w:p>
    <w:p>
      <w:r>
        <w:rPr>
          <w:b w:val="0"/>
          <w:i w:val="0"/>
        </w:rPr>
        <w:t>气道平滑肌（airway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muscle，ASM）不仅参与收缩，也具有糖皮质激素诱导的转录响应。已有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研究描述了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与布地奈德（BUD）处理后的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表达变化，并研究了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对该响应的调节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[1,2]。这些数据可进一步用于区分两类问题：哪些基因在所测炎症／敲低背景中保持响应，以及哪些候选的药物响应随暴露条件改变。四背景同向响应与交互效应是不同估计目标，前者不能替代后者。</w:t>
      </w:r>
    </w:p>
    <w:p>
      <w:r>
        <w:rPr>
          <w:b w:val="0"/>
          <w:i w:val="0"/>
        </w:rPr>
        <w:t>细胞钟与肺生物学的关系已有实验基础。发育期人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已显示包括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在内的时钟机制对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的响应，且有时钟干预及钙调控证据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[3]；跨组织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转录组研究亦提示背景相关响应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[4]。因此，本研究不以“糖皮质激素影响生物钟”为首次发现目标，而以成人来源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的供体分布、固定候选及药理／暴露时长证据为切入点。</w:t>
      </w:r>
    </w:p>
    <w:p>
      <w:r>
        <w:rPr>
          <w:b w:val="0"/>
          <w:i w:val="0"/>
        </w:rPr>
        <w:t>我们将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的全基因筛选、GSE94335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的可核对供体配对、GSE229084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药理干预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的单细胞系表达数据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串联。统计由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[7–9]，BioExplainR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作为事实、范围和项目追踪层；来源为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[10]。研究保留初始交互阴性、缺测、不重复和方案追加时点，形成可用于后续实验的具体假设。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</w:t>
      </w:r>
    </w:p>
    <w:p>
      <w:pPr>
        <w:pStyle w:val="Heading2"/>
      </w:pPr>
      <w:r>
        <w:rPr>
          <w:b w:val="0"/>
          <w:i w:val="0"/>
        </w:rPr>
        <w:t>2.1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数据、实验单位与分析阶段</w:t>
      </w:r>
    </w:p>
    <w:p>
      <w:r>
        <w:rPr>
          <w:b w:val="0"/>
          <w:i w:val="0"/>
        </w:rPr>
        <w:t>四项实验的单位、条件和估计量见表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1。GSE146017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非哮喘来源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供体、31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文库，BUD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nM、TNFα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ng/ml、18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h，含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NT／CEBPD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四背景；一个敲低失败条件未测序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[2]。GSE94335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nM、24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数据包含非哮喘与致死性哮喘来源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[1]。GSE229084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癌上皮细胞系的培养批次实验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[5]，GSE34313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是一个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细胞系的培养重复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[6]。文库、培养批次和供体分别记录，实验数量不累加为独立人数。</w:t>
      </w:r>
    </w:p>
    <w:p>
      <w:r>
        <w:rPr>
          <w:b w:val="0"/>
          <w:i w:val="0"/>
        </w:rPr>
        <w:t>所有分析为探索性公共数据二次分析。最初全基因交互扫描后制定四背景响应方案；原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表及既有候选分析当时已存在。响应排名规则与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候选在本轮外部候选提取前本地冻结，非前瞻性注册、盲法验证或全新未接触队列。暴露时长增补在初步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结果后制定，并进一步追加直接对比。补充方法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公开每阶段检验家族与冻结记录。</w:t>
      </w:r>
    </w:p>
    <w:p>
      <w:pPr>
        <w:pStyle w:val="Heading2"/>
      </w:pPr>
      <w:r>
        <w:rPr>
          <w:b w:val="0"/>
          <w:i w:val="0"/>
        </w:rPr>
        <w:t>2.2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全基因交互与跨背景响应筛选</w:t>
      </w:r>
    </w:p>
    <w:p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计数保留总计数≥10的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27,409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基因。DESeq2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donor + kd * bud * tnf</w:t>
      </w:r>
      <w:r>
        <w:rPr>
          <w:b w:val="0"/>
          <w:i w:val="0"/>
        </w:rPr>
        <w:t>，沿用保存模型的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dispersion。三个预定交互为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BUD×TNF、无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敲低及三因素交互，共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27,409×3=82,227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项，缺失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纳入同一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家族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[11]。不因交互阴性降低阈值。</w:t>
      </w:r>
    </w:p>
    <w:p>
      <w:r>
        <w:rPr>
          <w:b w:val="0"/>
          <w:i w:val="0"/>
        </w:rPr>
        <w:t>另从原计数进行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voom/eBayes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拟合，设计一致。四种背景为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NT/无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TNF、NT/TNF、KD/无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TNF、KD/TNF。每模型四背景×27,409=109,636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作为一个整体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家族，两个模型分别校正，非逐背景校正。筛选要求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baseMean≥10；四背景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效应同向且每项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|log2FC|≥0.5；两模型每背景均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BH&lt;0.05且方向一致；每背景至少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个可用供体的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log2(normalized 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配对响应全部同向；四次留一供体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拟合中四背景方向均保留。留一供体仅检验方向，未要求重复显著。</w:t>
      </w:r>
    </w:p>
    <w:p>
      <w:r>
        <w:rPr>
          <w:b w:val="0"/>
          <w:i w:val="0"/>
        </w:rPr>
        <w:t>通过基因按四背景最弱绝对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统计量降序、Ensembl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升序，冻结前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12。完整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基因筛选见补充表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S1，全部留一估计见补充表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S1b；48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项候选背景估计见补充表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S2。第二模型与留一分析使用同一来源样本，属于模型／供体敏感性检查，不是独立生物学重复。</w:t>
      </w:r>
    </w:p>
    <w:p>
      <w:pPr>
        <w:pStyle w:val="Heading2"/>
      </w:pPr>
      <w:r>
        <w:rPr>
          <w:b w:val="0"/>
          <w:i w:val="0"/>
        </w:rPr>
        <w:t>2.3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外部供体配对及多重校正</w:t>
      </w:r>
    </w:p>
    <w:p>
      <w:r>
        <w:rPr>
          <w:b w:val="0"/>
          <w:i w:val="0"/>
        </w:rPr>
        <w:t>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字段逐文库唯一，不能直接用于供体配对。根据原论文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恢复配对，维持原分析对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28793/28796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的排除：前者病组标注冲突，两者配对证据不足；原表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N012412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28779/28782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未出现在当前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TPM。进一步排除与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N010912、N051911、N061311，保留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非哮喘／9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致死性哮喘、26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文库）。仅证明已知重叠排除，不保证所有别名均已识别。</w:t>
      </w:r>
    </w:p>
    <w:p>
      <w:r>
        <w:rPr>
          <w:b w:val="0"/>
          <w:i w:val="0"/>
        </w:rPr>
        <w:t>将同基因所有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相加；主估计量为每供体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BUD−vehicle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log2(TPM+1)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差。12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候选×合并响应／两病组响应／病组响应差四项构成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家族；配对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与组间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和点态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CI。精确符号翻转及病组标签枚举形成对应的另一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家族；合并、9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人组、4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人组分别枚举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8,192、512、16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种符号，组差枚举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分组。精确符号翻转依赖零假设下供体差值可交换符号的假设，不是新随机化实验。</w:t>
      </w:r>
    </w:p>
    <w:p>
      <w:r>
        <w:rPr>
          <w:b w:val="0"/>
          <w:i w:val="0"/>
        </w:rPr>
        <w:t>无法映射的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LINC00607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不替换候选，以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P=1保留四项校正位置；该数值只服务分母，不表示测得无效应。外部重复定义为合并响应经校正显著且方向与发现一致。另检查伪计数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0.1／0.5／1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与留一供体方向，见补充表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S3–S5、S11。TPM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差、计数模型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和微阵列单位不合并效应幅度。</w:t>
      </w:r>
    </w:p>
    <w:p>
      <w:pPr>
        <w:pStyle w:val="Heading2"/>
      </w:pPr>
      <w:r>
        <w:rPr>
          <w:b w:val="0"/>
          <w:i w:val="0"/>
        </w:rPr>
        <w:t>2.4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药理干预及精确加权协方差</w:t>
      </w:r>
    </w:p>
    <w:p>
      <w:r>
        <w:rPr>
          <w:b w:val="0"/>
          <w:i w:val="0"/>
        </w:rPr>
        <w:t>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~0+group+batch</w:t>
      </w:r>
      <w:r>
        <w:rPr>
          <w:b w:val="0"/>
          <w:i w:val="0"/>
        </w:rPr>
        <w:t>，35,942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基因中固定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filterByExpr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15,437，设计秩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15、残差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df=32；未降低候选过滤。DEX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条件与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KH-103、MIF、Cort113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三项差中差从保存模型提取。交互定义为“该药物背景下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响应−DMSO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响应”，以基线药物组控制药物本身效应。12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候选×4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项为一个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家族，不可估计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P=1纳入分母。</w:t>
      </w:r>
    </w:p>
    <w:p>
      <w:r>
        <w:rPr>
          <w:b w:val="0"/>
          <w:i w:val="0"/>
        </w:rPr>
        <w:t>每基因使用其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权重构造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c'(X'WX)^−1c</w:t>
      </w:r>
      <w:r>
        <w:rPr>
          <w:b w:val="0"/>
          <w:i w:val="0"/>
        </w:rPr>
        <w:t>，乘保存的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方差，结合原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SE、t、CI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P；不把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共同相关近似协方差作为精确逐基因区间。样本与对比矩阵、全部候选及未通过过滤结果见补充表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S6。药物差中差可提示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相关药理处理削弱，不能替代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遗传干预、rescue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或直接结合证据。</w:t>
      </w:r>
    </w:p>
    <w:p>
      <w:pPr>
        <w:pStyle w:val="Heading2"/>
      </w:pPr>
      <w:r>
        <w:rPr>
          <w:b w:val="0"/>
          <w:i w:val="0"/>
        </w:rPr>
        <w:t>2.5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暴露时长增补及直接比较</w:t>
      </w:r>
    </w:p>
    <w:p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的短暴露条件是“16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DMSO后2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DEX+DMSO”，长暴露条件是“2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DEX后16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DEX+DMSO”；两者总培养处理窗口均为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h，2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h／18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暴露时长。长暴露相对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基线的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项检验另作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Holm；直接比较为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post_DMSO−pre_DMSO</w:t>
      </w:r>
      <w:r>
        <w:rPr>
          <w:b w:val="0"/>
          <w:i w:val="0"/>
        </w:rPr>
        <w:t>。这不是同批细胞随时间纵向采样，亦可能混杂给药顺序及培养阶段。</w:t>
      </w:r>
    </w:p>
    <w:p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有未处理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数组，使用发布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表达值及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GPL6480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精确单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symbol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匹配的全部探针，每数组取探针中位数。两时长×12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项边际检验使用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Welch／Holm，并保存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种分组置换。直接对比为处理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h−处理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h；与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的直接对比一起构成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家族，所有缺测保留。不以“一组显著、另一组不显著”推断直接差异。原处理组没有分别匹配每个时点的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vehicle，直接差异不能单独证明时间×药物交互、暂态轨迹或节律改变。补充表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S7–S9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提供全部追加检验。</w:t>
      </w:r>
    </w:p>
    <w:p>
      <w:pPr>
        <w:pStyle w:val="Heading2"/>
      </w:pPr>
      <w:r>
        <w:rPr>
          <w:b w:val="0"/>
          <w:i w:val="0"/>
        </w:rPr>
        <w:t>2.6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应用、溯源与数值复核</w:t>
      </w:r>
    </w:p>
    <w:p>
      <w:r>
        <w:rPr>
          <w:b w:val="0"/>
          <w:i w:val="0"/>
        </w:rPr>
        <w:t>实际源码载入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0.4.0.9000，构建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及项目、中英文离线报告，保留完整表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facts、scope、估计量和研究单位，在线模型调用为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0。v2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报告修正合同字段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uncertainty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及混合实验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从原计数、数组与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输入复核全基因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BH、筛选、固定排名和时间对比；R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及原配对补充表独立实现外部统计。独立实现复核指计算实现一致，不是第三方人员评价，也未跨语言独立重新估计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moderation。版本、输入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及分析阶段见补充方法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S6。</w:t>
      </w:r>
    </w:p>
    <w:p>
      <w:r>
        <w:rPr>
          <w:b w:val="0"/>
          <w:i w:val="0"/>
        </w:rPr>
        <w:t>前轮软件共同任务及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核验作为背景保留在补充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S13a／S13b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分别给出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360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运行、1,800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评分与任务级区间；37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次超时保留分母，facts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组已提供目标，不评价通用推理。补充表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是可测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FKBP5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控制，A549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因固定过滤不可估计；S13d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峰窗口重叠，不证明差异占据或直接调控。以上不同于本稿候选检验。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交互阴性与四背景保留的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基因响应集</w:t>
      </w:r>
    </w:p>
    <w:p>
      <w:r>
        <w:rPr>
          <w:b w:val="0"/>
          <w:i w:val="0"/>
        </w:rPr>
        <w:t>全基因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82,227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项交互无一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BH&lt;0.05，最小统一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BH=0.3515。该结果限定本数据的交互证据，不证明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CEBPD／TNF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无作用或四背景等效。随后按另一估计目标筛选四背景响应：54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基因通过两模型和所有方向要求，54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个均通过留一方向检查，见补充表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S1。其前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候选依次为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PER3、ANGPTL2、LINC00607、TEF、METTL7A、TSC22D3、FSTL3、GCNT1、MAOA、ZBTB16、FKBP5、PER2。</w:t>
      </w:r>
    </w:p>
    <w:p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展示固定候选四背景响应，补充表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提供全估计与校正。PER3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的四背景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−2.818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−2.217，PER2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−2.108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−1.441；METTL7A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为正向，经典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FKBP5／TSC22D3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响应亦入选。该集合按“响应保留”筛选，不称为不受炎症／敲低影响的基因或生物学等效集合。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排除已知重叠后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个可测候选在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供体中重复</w:t>
      </w:r>
    </w:p>
    <w:p>
      <w:r>
        <w:rPr>
          <w:b w:val="0"/>
          <w:i w:val="0"/>
        </w:rPr>
        <w:t>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候选及外部合并响应见表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2；图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供体平均配对差及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CI。11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个可测候选均在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与精确符号翻转的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中通过；LINC00607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缺注释保留不可估计。因此完整冻结分母为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11/12，条件可测分母为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11/11，不能只报告后者。10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个基因均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13/13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同向，GCNT1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上调／1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下调；其精确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P=0.0278，其他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0.0117。</w:t>
      </w:r>
    </w:p>
    <w:p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的合并差为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−0.915（95%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−1.048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−0.782；t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P=1.55×10</w:t>
      </w:r>
      <w:r>
        <w:rPr>
          <w:b w:val="0"/>
          <w:i w:val="0"/>
          <w:vertAlign w:val="superscript"/>
        </w:rPr>
        <w:t>-7</w:t>
      </w:r>
      <w:r>
        <w:rPr>
          <w:b w:val="0"/>
          <w:i w:val="0"/>
        </w:rPr>
        <w:t>），PER3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−2.082（−2.324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−1.839；P=1.24×10</w:t>
      </w:r>
      <w:r>
        <w:rPr>
          <w:b w:val="0"/>
          <w:i w:val="0"/>
          <w:vertAlign w:val="superscript"/>
        </w:rPr>
        <w:t>-8</w:t>
      </w:r>
      <w:r>
        <w:rPr>
          <w:b w:val="0"/>
          <w:i w:val="0"/>
        </w:rPr>
        <w:t>）。METTL7A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+2.044（1.896至2.193；P=5.31×10</w:t>
      </w:r>
      <w:r>
        <w:rPr>
          <w:b w:val="0"/>
          <w:i w:val="0"/>
          <w:vertAlign w:val="superscript"/>
        </w:rPr>
        <w:t>-11</w:t>
      </w:r>
      <w:r>
        <w:rPr>
          <w:b w:val="0"/>
          <w:i w:val="0"/>
        </w:rPr>
        <w:t>），MAOA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+2.561（2.413至2.710；P=3.70×10</w:t>
      </w:r>
      <w:r>
        <w:rPr>
          <w:b w:val="0"/>
          <w:i w:val="0"/>
          <w:vertAlign w:val="superscript"/>
        </w:rPr>
        <w:t>-12</w:t>
      </w:r>
      <w:r>
        <w:rPr>
          <w:b w:val="0"/>
          <w:i w:val="0"/>
        </w:rPr>
        <w:t>）。补充图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公开六条重点线索全部供体测量，补充表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S4提供效应，补充表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S11提供原尺度测量。</w:t>
      </w:r>
    </w:p>
    <w:p>
      <w:r>
        <w:rPr>
          <w:b w:val="0"/>
          <w:i w:val="0"/>
        </w:rPr>
        <w:t>全部病组响应差均未通过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Holm，补充表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和枚举结果；不能推断疾病来源的等效响应。尤其非哮喘组仅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供体，精确双侧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的离散性使该组单独确认受限。重点基因伪计数和留一方向保持（补充表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S5），不扩大为未来供体预测。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的短暴露诱导、药理削弱与长暴露回落</w:t>
      </w:r>
    </w:p>
    <w:p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短／长暴露效应及药物差中差并列。2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+1.092（95%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0.860至1.323；48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P=5.71×10</w:t>
      </w:r>
      <w:r>
        <w:rPr>
          <w:b w:val="0"/>
          <w:i w:val="0"/>
          <w:vertAlign w:val="superscript"/>
        </w:rPr>
        <w:t>-10</w:t>
      </w:r>
      <w:r>
        <w:rPr>
          <w:b w:val="0"/>
          <w:i w:val="0"/>
        </w:rPr>
        <w:t>）。KH-103、MIF、Cort113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交互分别为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−0.935（−1.255至−0.615；P=2.98×10</w:t>
      </w:r>
      <w:r>
        <w:rPr>
          <w:b w:val="0"/>
          <w:i w:val="0"/>
          <w:vertAlign w:val="superscript"/>
        </w:rPr>
        <w:t>-5</w:t>
      </w:r>
      <w:r>
        <w:rPr>
          <w:b w:val="0"/>
          <w:i w:val="0"/>
        </w:rPr>
        <w:t>）、−0.972（−1.293至−0.652；P=1.49×10</w:t>
      </w:r>
      <w:r>
        <w:rPr>
          <w:b w:val="0"/>
          <w:i w:val="0"/>
          <w:vertAlign w:val="superscript"/>
        </w:rPr>
        <w:t>-5</w:t>
      </w:r>
      <w:r>
        <w:rPr>
          <w:b w:val="0"/>
          <w:i w:val="0"/>
        </w:rPr>
        <w:t>）、−0.922（−1.244至−0.601；P=4.04×10</w:t>
      </w:r>
      <w:r>
        <w:rPr>
          <w:b w:val="0"/>
          <w:i w:val="0"/>
          <w:vertAlign w:val="superscript"/>
        </w:rPr>
        <w:t>-5</w:t>
      </w:r>
      <w:r>
        <w:rPr>
          <w:b w:val="0"/>
          <w:i w:val="0"/>
        </w:rPr>
        <w:t>）。这支持该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短暴露响应被所测药理处理削弱，详见补充表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S6。</w:t>
      </w:r>
    </w:p>
    <w:p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+0.175（−0.065至0.415；12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P=0.442）。直接长−短暴露条件差为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−0.917（−1.124至−0.710；24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P=1.45×10</w:t>
      </w:r>
      <w:r>
        <w:rPr>
          <w:b w:val="0"/>
          <w:i w:val="0"/>
          <w:vertAlign w:val="superscript"/>
        </w:rPr>
        <w:t>-9</w:t>
      </w:r>
      <w:r>
        <w:rPr>
          <w:b w:val="0"/>
          <w:i w:val="0"/>
        </w:rPr>
        <w:t>），见补充表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S7／S9。因此回落由直接比较支持，不能仅由两项边际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判断。A549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长暴露并未显示显著负向响应，不表述为该细胞中已发生由正到负的反转。</w:t>
      </w:r>
    </w:p>
    <w:p>
      <w:r>
        <w:rPr>
          <w:b w:val="0"/>
          <w:i w:val="0"/>
        </w:rPr>
        <w:t>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接近零，24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−1.656（24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P=1.24×10</w:t>
      </w:r>
      <w:r>
        <w:rPr>
          <w:b w:val="0"/>
          <w:i w:val="0"/>
          <w:vertAlign w:val="superscript"/>
        </w:rPr>
        <w:t>-4</w:t>
      </w:r>
      <w:r>
        <w:rPr>
          <w:b w:val="0"/>
          <w:i w:val="0"/>
        </w:rPr>
        <w:t>）；直接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h−4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−1.651（−1.997至−1.305；P=0.0139）。PER3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直接差为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−1.412（P=0.0195）。补充图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S8／S9给出全部处理条件及候选。小样本精确置换在完整校正家族中未确认，故此处为参数检验支持的探索结果。跨实验支持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暴露条件相关差异，尚不能区分短暂诱导、相位移动、持续抑制或组织特异响应。</w:t>
      </w:r>
    </w:p>
    <w:p>
      <w:pPr>
        <w:pStyle w:val="Heading2"/>
      </w:pPr>
      <w:r>
        <w:rPr>
          <w:b w:val="0"/>
          <w:i w:val="0"/>
        </w:rPr>
        <w:t>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次级候选及不重复／不可估计证据</w:t>
      </w:r>
    </w:p>
    <w:p>
      <w:r>
        <w:rPr>
          <w:b w:val="0"/>
          <w:i w:val="0"/>
        </w:rPr>
        <w:t>METTL7A／MAOA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13/13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外部供体上调。其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长−短暴露差分别为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+1.231（Holm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P=0.00799）、+2.889（P=0.00280），A549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+2.026（P=9.01×10</w:t>
      </w:r>
      <w:r>
        <w:rPr>
          <w:b w:val="0"/>
          <w:i w:val="0"/>
          <w:vertAlign w:val="superscript"/>
        </w:rPr>
        <w:t>-10</w:t>
      </w:r>
      <w:r>
        <w:rPr>
          <w:b w:val="0"/>
          <w:i w:val="0"/>
        </w:rPr>
        <w:t>）、+2.364（P=3.52×10</w:t>
      </w:r>
      <w:r>
        <w:rPr>
          <w:b w:val="0"/>
          <w:i w:val="0"/>
          <w:vertAlign w:val="superscript"/>
        </w:rPr>
        <w:t>-19</w:t>
      </w:r>
      <w:r>
        <w:rPr>
          <w:b w:val="0"/>
          <w:i w:val="0"/>
        </w:rPr>
        <w:t>），见补充表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S9。数据支持较长暴露条件的更高表达，不直接测得累积速率、RNA稳定性或蛋白功能；其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药物交互未通过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Holm。</w:t>
      </w:r>
    </w:p>
    <w:p>
      <w:r>
        <w:rPr>
          <w:b w:val="0"/>
          <w:i w:val="0"/>
        </w:rPr>
        <w:t>ANGPTL2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13/13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下调（−0.869，Holm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P=0.000303），HASM1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亦下调，但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未通过固定表达过滤。FSTL3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13/13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上调（+1.414，P=1.34×10</w:t>
      </w:r>
      <w:r>
        <w:rPr>
          <w:b w:val="0"/>
          <w:i w:val="0"/>
          <w:vertAlign w:val="superscript"/>
        </w:rPr>
        <w:t>-7</w:t>
      </w:r>
      <w:r>
        <w:rPr>
          <w:b w:val="0"/>
          <w:i w:val="0"/>
        </w:rPr>
        <w:t>），A549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短／长暴露有响应；HASM1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交互未通过校正。两者为细胞外信号相关候选，不拼接成已验证共同通路。</w:t>
      </w:r>
    </w:p>
    <w:p>
      <w:r>
        <w:rPr>
          <w:b w:val="0"/>
          <w:i w:val="0"/>
        </w:rPr>
        <w:t>TEF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在外部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供体下调，但单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微阵列不重复。LINC00607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四背景上调、外部缺注释，旧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−0.082、BH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P=0.915，不支持广泛重复。补充表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汇总全部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候选证据及缺失；这些限制与经典控制一并保留，不能选择性删去以提高一致率。</w:t>
      </w:r>
    </w:p>
    <w:p>
      <w:pPr>
        <w:pStyle w:val="Heading2"/>
      </w:pPr>
      <w:r>
        <w:rPr>
          <w:b w:val="0"/>
          <w:i w:val="0"/>
        </w:rPr>
        <w:t>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事实报告与独立实现复核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对四背景各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27,409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行全表的显著事实计数为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151／185／128／149，与独立计数一致；交互全表显著数为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0。9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项目保存响应、供体、药理及直接暴露条件差的不同范围。事实接口计数采用其显著判定契约，不等同于额外要求两模型、|log2FC|≥0.5及全部方向的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基因筛选。</w:t>
      </w:r>
    </w:p>
    <w:p>
      <w:r>
        <w:rPr>
          <w:b w:val="0"/>
          <w:i w:val="0"/>
        </w:rPr>
        <w:t>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审计复核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82,227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交互、109,636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响应与供体方向、固定排名、192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候选供体记录（180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可估计／12缺失）、300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项精确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数值、110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数组测量及全部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边际／24直接时间条件检验。R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5,851,434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行与原补充表复核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测量、143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360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统计检查，44可估计检验／48项分母。其结果支持可重复的计算链条，非新增受试者或机制终点。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讨论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新增整合证据与已有生物学的关系</w:t>
      </w:r>
    </w:p>
    <w:p>
      <w:r>
        <w:rPr>
          <w:b w:val="0"/>
          <w:i w:val="0"/>
        </w:rPr>
        <w:t>本研究的主要贡献是在固定、公开的跨背景筛选中定位候选，并在剔除已知重叠细胞系后保留供体配对证据。PER2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的成人来源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晚期下调与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短暴露诱导并不构成矛盾：药物、细胞类型、剂量、培养条件及暴露安排不同；直接暴露条件比较进一步说明简单跨实验方向归类不足。</w:t>
      </w:r>
    </w:p>
    <w:p>
      <w:r>
        <w:rPr>
          <w:b w:val="0"/>
          <w:i w:val="0"/>
        </w:rPr>
        <w:t>发育期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响应、时钟基因和钙调控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[3]，GR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跨组织差异亦有原研究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[4]。本文新增价值限定为本候选排序、供体响应分布和药理／暴露条件整合，而非首个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激素响应或完整生物钟机制。PER2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被排在冻结前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的末位，重点选择来自后续综合证据，属于结果后解释；外部检验仍保留全部冻结候选。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证据边界与主要问题</w:t>
      </w:r>
    </w:p>
    <w:p>
      <w:r>
        <w:rPr>
          <w:b w:val="0"/>
          <w:i w:val="0"/>
        </w:rPr>
        <w:t>四背景同向不证明不存在调节交互。4供体及严格多重校正限制交互功效；阴性不能改写为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TNF／CEBPD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无效。响应方案在初始阴性扫描后制定，两统计模型共享样本、留一检查也不产生独立证据；发现效应可能受选择影响。已知重叠排除提高外部来源区分度，但先前已有该数据集的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分析，不能称全队列盲法验证；其他供体别名重叠仍需核实。</w:t>
      </w:r>
    </w:p>
    <w:p>
      <w:r>
        <w:rPr>
          <w:b w:val="0"/>
          <w:i w:val="0"/>
        </w:rPr>
        <w:t>所有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为点态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区间，未作为同时置信区间；P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经各阶段定义的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BH／Holm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校正，多个探索阶段并未共同控制整个研究所有潜在假设的错误率。13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供体合并包括两病组，代表所测混合供体集合，不代表总体患者效应或健康组单独充分验证。TPM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变换、计数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数组尺度不可横向比较幅度。</w:t>
      </w:r>
    </w:p>
    <w:p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为癌上皮细胞系，药物可能有脱靶；三交互不能代替成人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GR遗传依赖。A549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两暴露安排均总培养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h，HASM1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两处理时长缺逐时匹配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vehicle，因此直接比较是暴露条件差，非严格时间×药物交互。两时点既不能识别周期，也不能估计相位／振幅；</w:t>
      </w:r>
      <w:r>
        <w:t>"</w:t>
      </w:r>
      <w:r>
        <w:rPr>
          <w:b w:val="0"/>
          <w:i w:val="0"/>
        </w:rPr>
        <w:t>累积</w:t>
      </w:r>
      <w:r>
        <w:t>"</w:t>
      </w:r>
      <w:r>
        <w:rPr>
          <w:b w:val="0"/>
          <w:i w:val="0"/>
        </w:rPr>
        <w:t>只能作为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METTL7A／MAOA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的待检验假设。小培养样本的精确检验未确认、LINC00607缺测、TEF不重复及受体交互阴性均降低相应结论强度。具体问题、已完成文字纠正及对应材料见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ISSUES.md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4.3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优先实验与可证伪预测</w:t>
      </w:r>
    </w:p>
    <w:p>
      <w:r>
        <w:rPr>
          <w:b w:val="0"/>
          <w:i w:val="0"/>
        </w:rPr>
        <w:t>优先以独立成人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供体开展匹配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0／2／4／8／12／18／24／36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BUD／DEX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时间序列，同时记录同步化、收样时间、批次和细胞状态。主要检验预先限定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的短暴露与长暴露药物响应差，并以供体为统计单位；根据新样本设计独立估算功效，不把本筛选效应直接作为无偏样本量依据。</w:t>
      </w:r>
    </w:p>
    <w:p>
      <w:r>
        <w:rPr>
          <w:b w:val="0"/>
          <w:i w:val="0"/>
        </w:rPr>
        <w:t>第二步结合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遗传干预及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rescue，测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PER2／PER3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RNA和蛋白，区分药理效应与受体依赖。只有更密集、至少覆盖多个周期的匹配测量或持续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才能提出相位／振幅结论。METTL7A／MAOA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先验证长暴露响应及蛋白，再检验稳定性／酶活等机制；ANGPTL2／FSTL3先检验分泌和相应功能；LINC00607先解决异构体与检测特异性。上述实验尚未实施，预测是待检验工作，不是本稿结果。</w:t>
      </w:r>
    </w:p>
    <w:p>
      <w:pPr>
        <w:pStyle w:val="Heading1"/>
      </w:pP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结论</w:t>
      </w:r>
    </w:p>
    <w:p>
      <w:r>
        <w:rPr>
          <w:b w:val="0"/>
          <w:i w:val="0"/>
        </w:rPr>
        <w:t>公开实验重分析得到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基因跨四背景保留的响应集合，冻结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个可测响应在剔除已知重叠的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供体中重复。PER2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的供体晚期下调、A549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短暴露诱导及直接长−短暴露差提供优先追踪线索；METTL7A／MAOA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是次级候选。BioExplainR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将统计事实、研究单位、缺测和解释限制保存在同一可追溯项目中。现有证据支持候选特异转录响应与实验条件相关差异，机制与功能需要独立验证。</w:t>
      </w:r>
    </w:p>
    <w:p>
      <w:pPr>
        <w:pStyle w:val="Heading1"/>
      </w:pPr>
      <w:r>
        <w:rPr>
          <w:b w:val="0"/>
          <w:i w:val="0"/>
        </w:rPr>
        <w:t>数据与代码可用性</w:t>
      </w:r>
    </w:p>
    <w:p>
      <w:r>
        <w:rPr>
          <w:b w:val="0"/>
          <w:i w:val="0"/>
        </w:rPr>
        <w:t>公共来源：GEO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GSE146017、GSE94335、GSE229084、GSE34313／GPL6480。协议与分析脚本位于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；正式结果为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research/results/discovery_genome_v2/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</w:t>
      </w:r>
      <w:r>
        <w:rPr>
          <w:b w:val="0"/>
          <w:i w:val="0"/>
        </w:rPr>
        <w:t>。原计数／TPM、样本配对、model.rds、冻结、失败修订、文献快照和数值审计保留；原分析封存入口为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docs/biology_discovery_v2/discovery_manifest.json</w:t>
      </w:r>
      <w:r>
        <w:rPr>
          <w:b w:val="0"/>
          <w:i w:val="0"/>
        </w:rPr>
        <w:t>。本文稿与补充表位于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docs/paper_cn_v5/</w:t>
      </w:r>
      <w:r>
        <w:rPr>
          <w:b w:val="0"/>
          <w:i w:val="0"/>
        </w:rPr>
        <w:t>，其新清单独立记录本次版本及输入依赖。完整全基因表在结果目录，不以仅候选表代替背景分母。</w:t>
      </w:r>
    </w:p>
    <w:p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软件；正式公开仓库、release与DOI待实际发布填写。当前为中文工作初稿。</w:t>
      </w:r>
      <w:r>
        <w:rPr>
          <w:b/>
          <w:i w:val="0"/>
        </w:rPr>
        <w:t>作者贡献、基金、利益冲突、适用伦理及数据使用说明：</w:t>
      </w:r>
      <w:r>
        <w:rPr>
          <w:b w:val="0"/>
          <w:i w:val="0"/>
        </w:rPr>
        <w:t>［按真实材料填写］。AI助手参与代码与文字整理，统计来自保存实测结果；最终科学与作者确认［待填写］。</w:t>
      </w:r>
    </w:p>
    <w:p>
      <w:pPr>
        <w:pStyle w:val="Heading1"/>
      </w:pPr>
      <w:r>
        <w:rPr>
          <w:b w:val="0"/>
          <w:i w:val="0"/>
        </w:rPr>
        <w:t>参考文献</w:t>
      </w:r>
    </w:p>
    <w:p>
      <w:r>
        <w:t xml:space="preserve">1.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Koziol-White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Shumyatcher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exposure.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2019;61:110–120.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10.1165/rcmb.2018-0385OC</w:t>
      </w:r>
      <w:r>
        <w:rPr>
          <w:b w:val="0"/>
          <w:i w:val="0"/>
        </w:rPr>
        <w:t>.</w:t>
      </w:r>
    </w:p>
    <w:p>
      <w:r>
        <w:t xml:space="preserve">2. </w:t>
      </w:r>
      <w:r>
        <w:rPr>
          <w:b w:val="0"/>
          <w:i w:val="0"/>
        </w:rPr>
        <w:t>Kan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Jiang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2022;23:193.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10.1186/s12931-022-02119-1</w:t>
      </w:r>
      <w:r>
        <w:rPr>
          <w:b w:val="0"/>
          <w:i w:val="0"/>
        </w:rPr>
        <w:t>.</w:t>
      </w:r>
    </w:p>
    <w:p>
      <w:r>
        <w:t xml:space="preserve">3. </w:t>
      </w:r>
      <w:r>
        <w:rPr>
          <w:b w:val="0"/>
          <w:i w:val="0"/>
        </w:rPr>
        <w:t>Bartman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Matveyenko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Pabelick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Prakash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Cellular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hyperoxia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[Ca2+]i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smooth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muscle.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Lung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Physiol.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2021;320:L451–L466.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10.1152/ajplung.00406.2020</w:t>
      </w:r>
      <w:r>
        <w:rPr>
          <w:b w:val="0"/>
          <w:i w:val="0"/>
        </w:rPr>
        <w:t>.</w:t>
      </w:r>
    </w:p>
    <w:p>
      <w:r>
        <w:t xml:space="preserve">4. </w:t>
      </w:r>
      <w:r>
        <w:rPr>
          <w:b w:val="0"/>
          <w:i w:val="0"/>
        </w:rPr>
        <w:t>Piechota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Zieba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Borczyk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cross-tissue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decodes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receptor-dependent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metabolic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phenotypes.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2025;26:462.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10.1186/s12864-025-11676-w</w:t>
      </w:r>
      <w:r>
        <w:rPr>
          <w:b w:val="0"/>
          <w:i w:val="0"/>
        </w:rPr>
        <w:t>.</w:t>
      </w:r>
    </w:p>
    <w:p>
      <w:r>
        <w:t xml:space="preserve">5.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Hugentobler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Harnessing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PROTAC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combat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hormone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receptor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Commun.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2023;14:8177.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10.1038/s41467-023-44031-2</w:t>
      </w:r>
      <w:r>
        <w:rPr>
          <w:b w:val="0"/>
          <w:i w:val="0"/>
        </w:rPr>
        <w:t>.</w:t>
      </w:r>
    </w:p>
    <w:p>
      <w:r>
        <w:t xml:space="preserve">6. </w:t>
      </w:r>
      <w:r>
        <w:rPr>
          <w:b w:val="0"/>
          <w:i w:val="0"/>
        </w:rPr>
        <w:t>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Klf15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glucocorticoid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hyperresponsiveness.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2011;45:642–649.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10.1165/rcmb.2010-0369OC</w:t>
      </w:r>
      <w:r>
        <w:rPr>
          <w:b w:val="0"/>
          <w:i w:val="0"/>
        </w:rPr>
        <w:t>.</w:t>
      </w:r>
    </w:p>
    <w:p>
      <w:r>
        <w:t xml:space="preserve">7. </w:t>
      </w:r>
      <w:r>
        <w:rPr>
          <w:b w:val="0"/>
          <w:i w:val="0"/>
        </w:rPr>
        <w:t>Love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2014;15:550.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10.1186/s13059-014-0550-8</w:t>
      </w:r>
      <w:r>
        <w:rPr>
          <w:b w:val="0"/>
          <w:i w:val="0"/>
        </w:rPr>
        <w:t>.</w:t>
      </w:r>
    </w:p>
    <w:p>
      <w:r>
        <w:t xml:space="preserve">8. </w:t>
      </w:r>
      <w:r>
        <w:rPr>
          <w:b w:val="0"/>
          <w:i w:val="0"/>
        </w:rPr>
        <w:t>Robinson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McCarthy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DJ,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package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Bioinformatics.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2010;26:139–140.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10.1093/bioinformatics/btp616</w:t>
      </w:r>
      <w:r>
        <w:rPr>
          <w:b w:val="0"/>
          <w:i w:val="0"/>
        </w:rPr>
        <w:t>.</w:t>
      </w:r>
    </w:p>
    <w:p>
      <w:r>
        <w:t xml:space="preserve">9.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Smyth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GK.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RNA-seq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2014;15:R29.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10.1186/gb-2014-15-2-r29</w:t>
      </w:r>
      <w:r>
        <w:rPr>
          <w:b w:val="0"/>
          <w:i w:val="0"/>
        </w:rPr>
        <w:t>.</w:t>
      </w:r>
    </w:p>
    <w:p>
      <w:r>
        <w:t xml:space="preserve">10. </w:t>
      </w:r>
      <w:r>
        <w:rPr>
          <w:b w:val="0"/>
          <w:i w:val="0"/>
        </w:rPr>
        <w:t>Edgar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Domrachev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Omnibus: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hybridization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array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repository.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Nucleic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2002;30:207–210.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10.1093/nar/30.1.207</w:t>
      </w:r>
      <w:r>
        <w:rPr>
          <w:b w:val="0"/>
          <w:i w:val="0"/>
        </w:rPr>
        <w:t>.</w:t>
      </w:r>
    </w:p>
    <w:p>
      <w:r>
        <w:t xml:space="preserve">11. </w:t>
      </w:r>
      <w:r>
        <w:rPr>
          <w:b w:val="0"/>
          <w:i w:val="0"/>
        </w:rPr>
        <w:t>Benjamini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Hochberg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1995;57:289–300.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10.1111/j.2517-6161.1995.tb02031.x</w:t>
      </w:r>
      <w:r>
        <w:rPr>
          <w:b w:val="0"/>
          <w:i w:val="0"/>
        </w:rPr>
        <w:t>.</w:t>
      </w:r>
    </w:p>
    <w:p>
      <w:pPr>
        <w:pStyle w:val="Heading1"/>
        <w:pageBreakBefore/>
      </w:pPr>
      <w:r>
        <w:rPr>
          <w:b w:val="0"/>
          <w:i w:val="0"/>
        </w:rPr>
        <w:t>图表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数据来源、单位与主要估计量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361"/>
        <w:gridCol w:w="2721"/>
        <w:gridCol w:w="2891"/>
        <w:gridCol w:w="2665"/>
      </w:tblGrid>
      <w:tr>
        <w:trPr>
          <w:cantSplit/>
          <w:tblHeader/>
        </w:trPr>
        <w:tc>
          <w:tcPr>
            <w:tcW w:type="dxa" w:w="136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来源</w:t>
            </w:r>
          </w:p>
        </w:tc>
        <w:tc>
          <w:tcPr>
            <w:tcW w:type="dxa" w:w="272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实验单位／规模</w:t>
            </w:r>
          </w:p>
        </w:tc>
        <w:tc>
          <w:tcPr>
            <w:tcW w:type="dxa" w:w="28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处理</w:t>
            </w:r>
          </w:p>
        </w:tc>
        <w:tc>
          <w:tcPr>
            <w:tcW w:type="dxa" w:w="266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主要估计量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GSE146017</w:t>
            </w:r>
          </w:p>
        </w:tc>
        <w:tc>
          <w:tcPr>
            <w:tcW w:type="dxa" w:w="272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4供体／31文库／27,409基因</w:t>
            </w:r>
          </w:p>
        </w:tc>
        <w:tc>
          <w:tcPr>
            <w:tcW w:type="dxa" w:w="28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BUD18h；NT/KD×无TNF/TNF</w:t>
            </w:r>
          </w:p>
        </w:tc>
        <w:tc>
          <w:tcPr>
            <w:tcW w:type="dxa" w:w="2665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计数log2FC；交互；四背景响应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GSE94335</w:t>
            </w:r>
          </w:p>
        </w:tc>
        <w:tc>
          <w:tcPr>
            <w:tcW w:type="dxa" w:w="272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13配对供体／26文库（4非哮喘、9致死性哮喘）</w:t>
            </w:r>
          </w:p>
        </w:tc>
        <w:tc>
          <w:tcPr>
            <w:tcW w:type="dxa" w:w="28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BUD24h；已知3共享细胞系排除</w:t>
            </w:r>
          </w:p>
        </w:tc>
        <w:tc>
          <w:tcPr>
            <w:tcW w:type="dxa" w:w="2665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供体log2(TPM+1)配对差及病组差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GSE229084</w:t>
            </w:r>
          </w:p>
        </w:tc>
        <w:tc>
          <w:tcPr>
            <w:tcW w:type="dxa" w:w="272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A549单细胞系／4batch／47文库</w:t>
            </w:r>
          </w:p>
        </w:tc>
        <w:tc>
          <w:tcPr>
            <w:tcW w:type="dxa" w:w="28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总窗口18h；DEX暴露2h/18h；3药物</w:t>
            </w:r>
          </w:p>
        </w:tc>
        <w:tc>
          <w:tcPr>
            <w:tcW w:type="dxa" w:w="2665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log2表达效应／药物差中差／暴露条件差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GSE34313</w:t>
            </w:r>
          </w:p>
        </w:tc>
        <w:tc>
          <w:tcPr>
            <w:tcW w:type="dxa" w:w="272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HASM1单细胞系／4未处理+3短+3长数组</w:t>
            </w:r>
          </w:p>
        </w:tc>
        <w:tc>
          <w:tcPr>
            <w:tcW w:type="dxa" w:w="28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DEX4h/24h；无逐时匹配vehicle</w:t>
            </w:r>
          </w:p>
        </w:tc>
        <w:tc>
          <w:tcPr>
            <w:tcW w:type="dxa" w:w="2665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processed表达差；培养重复Welch</w:t>
            </w:r>
          </w:p>
        </w:tc>
      </w:tr>
    </w:tbl>
    <w:p>
      <w:r>
        <w:rPr>
          <w:b/>
          <w:i w:val="0"/>
          <w:sz w:val="17"/>
        </w:rPr>
        <w:t>表注：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所列单位不相加为新增独立供体数；A549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的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2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h／18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h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为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DEX暴露安排，同为总18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h处理。GSE34313只有共享未处理组，缺各时点分别匹配的vehicle。</w:t>
      </w:r>
    </w:p>
    <w:p>
      <w:pPr>
        <w:pStyle w:val="Heading2"/>
      </w:pPr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全部固定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候选的发现及外部响应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191"/>
        <w:gridCol w:w="1701"/>
        <w:gridCol w:w="1020"/>
        <w:gridCol w:w="1757"/>
        <w:gridCol w:w="1304"/>
        <w:gridCol w:w="1304"/>
        <w:gridCol w:w="794"/>
      </w:tblGrid>
      <w:tr>
        <w:trPr>
          <w:cantSplit/>
          <w:tblHeader/>
        </w:trPr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基因</w:t>
            </w:r>
          </w:p>
        </w:tc>
        <w:tc>
          <w:tcPr>
            <w:tcW w:type="dxa" w:w="170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四背景log2FC</w:t>
            </w:r>
          </w:p>
        </w:tc>
        <w:tc>
          <w:tcPr>
            <w:tcW w:type="dxa" w:w="1020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13供体差</w:t>
            </w:r>
          </w:p>
        </w:tc>
        <w:tc>
          <w:tcPr>
            <w:tcW w:type="dxa" w:w="175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95%CI</w:t>
            </w:r>
          </w:p>
        </w:tc>
        <w:tc>
          <w:tcPr>
            <w:tcW w:type="dxa" w:w="130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t Holm P</w:t>
            </w:r>
          </w:p>
        </w:tc>
        <w:tc>
          <w:tcPr>
            <w:tcW w:type="dxa" w:w="130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精确Holm P</w:t>
            </w:r>
          </w:p>
        </w:tc>
        <w:tc>
          <w:tcPr>
            <w:tcW w:type="dxa" w:w="79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方向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PER3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-2.818至-2.217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-2.082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-2.324至-1.839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1.24e-08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0↑/13↓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ANGPTL2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-1.162至-1.038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-0.869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-1.131至-0.608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0.000303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0↑/13↓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LINC00607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1.067至1.517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不可估计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不可估计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1（占位）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1（占位）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缺测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TEF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-1.526至-0.926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-0.796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-1.034至-0.558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0.000295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0↑/13↓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METTL7A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0.864至1.038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2.044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1.896至2.193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5.31e-11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13↑/0↓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TSC22D3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1.154至1.268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4.206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4.066至4.347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5.41e-15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13↑/0↓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FSTL3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0.765至0.868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1.414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1.211至1.617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1.34e-07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13↑/0↓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GCNT1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0.742至1.059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0.690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0.340至1.040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0.0237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0.0278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12↑/1↓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MAOA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1.490至1.708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2.561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2.413至2.710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3.7e-12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13↑/0↓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ZBTB16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7.130至8.672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4.132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3.664至4.599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9.05e-09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13↑/0↓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FKBP5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1.962至2.497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4.499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4.298至4.700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1.71e-13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13↑/0↓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PER2</w:t>
            </w:r>
          </w:p>
        </w:tc>
        <w:tc>
          <w:tcPr>
            <w:tcW w:type="dxa" w:w="1701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-2.108至-1.441</w:t>
            </w:r>
          </w:p>
        </w:tc>
        <w:tc>
          <w:tcPr>
            <w:tcW w:type="dxa" w:w="1020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-0.915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-1.048至-0.782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1.55e-07</w:t>
            </w:r>
          </w:p>
        </w:tc>
        <w:tc>
          <w:tcPr>
            <w:tcW w:type="dxa" w:w="130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0.0117</w:t>
            </w:r>
          </w:p>
        </w:tc>
        <w:tc>
          <w:tcPr>
            <w:tcW w:type="dxa" w:w="794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0↑/13↓</w:t>
            </w:r>
          </w:p>
        </w:tc>
      </w:tr>
    </w:tbl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发现范围为四背景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DESeq2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log2FC；外部差为13供体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log2(TPM+1)配对均值和点态95%CI，二者尺度不同。参数与精确检验分别以48项Holm校正。LINC00607的校正P=1为缺测分母占位；冻结分母11/12，可测分母11/11。GCNT1有1供体反向。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固定候选的四背景响应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候选全部四背景DESeq2估计，不按外部表现重排或替换。两模型各自使用109,636项统一BH；候选进一步满足效应、供体及留一方向要求。图内为计数模型log2FC，不能与外部TPM差比较幅度。响应同向不等于四背景等效，交互全家族阴性另报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已知重叠排除后的供体配对响应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13供体合并配对响应及点态95%t区间，4非哮喘／9致死性哮喘。11可测候选均通过各48项参数及精确Holm，LINC00607缺测。原表恢复配对、冲突文库及3个已知共享细胞系排除；不与旧16供体样本相加。仅重复BUD响应，不重复TNF／KD交互。</w:t>
      </w:r>
    </w:p>
    <w:p>
      <w:pPr>
        <w:pStyle w:val="Heading2"/>
        <w:pageBreakBefore/>
      </w:pPr>
      <w:r>
        <w:rPr>
          <w:b w:val="0"/>
          <w:i w:val="0"/>
        </w:rPr>
        <w:t>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药理干预与暴露条件差异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图</w:t>
      </w:r>
      <w:r>
        <w:rPr>
          <w:b/>
          <w:i w:val="0"/>
        </w:rPr>
        <w:t xml:space="preserve"> </w:t>
      </w:r>
      <w:r>
        <w:rPr>
          <w:b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PER2短暴露上调，三药物背景差中差均为负；长暴露相对DMSO效应接近零，直接长−短条件差为负。图内“2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h／18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h”指DEX暴露，不是总培养收样时间，两处理总窗口均18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h。前三交互与短暴露检验使用48项Holm，长暴露12项、直接差24项。逐基因精确WLS协方差构造点态95%CI。不支持A549长暴露已负向反转，也不替代ASM受体机制或密集节律测量。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