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成人气道平滑肌糖皮质激素响应集合的跨来源重复：PER2晚期抑制与时钟相关转录线索</w:t>
      </w:r>
    </w:p>
    <w:p>
      <w:pPr>
        <w:pStyle w:val="Subtitle"/>
      </w:pPr>
      <w:r>
        <w:rPr>
          <w:b w:val="0"/>
          <w:i w:val="0"/>
        </w:rPr>
        <w:t>中文论文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完整转录／胞内与上清蛋白证据整合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</w:t>
      </w:r>
    </w:p>
    <w:p>
      <w:pPr/>
      <w:r>
        <w:rPr>
          <w:b w:val="0"/>
          <w:i w:val="0"/>
        </w:rPr>
        <w:t>2026-10-10</w:t>
      </w:r>
    </w:p>
    <w:p>
      <w:r>
        <w:rPr>
          <w:b/>
          <w:i w:val="0"/>
        </w:rPr>
        <w:t>作者、单位与通讯作者：</w:t>
      </w:r>
      <w:r>
        <w:rPr>
          <w:b w:val="0"/>
          <w:i w:val="0"/>
        </w:rPr>
        <w:t>［待真实材料填写］</w:t>
      </w:r>
    </w:p>
    <w:p>
      <w:pPr>
        <w:pStyle w:val="Heading1"/>
      </w:pPr>
      <w:r>
        <w:rPr>
          <w:b w:val="0"/>
          <w:i w:val="0"/>
        </w:rPr>
        <w:t>摘要</w:t>
      </w:r>
    </w:p>
    <w:p>
      <w:r>
        <w:rPr>
          <w:b/>
          <w:i w:val="0"/>
        </w:rPr>
        <w:t>目的：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检验气道平滑肌（ASM）跨炎症／CEBPD干预背景响应集合的外部可重复性，并以公开时间、受体干预及蛋白证据界定候选的生物学解释。</w:t>
      </w:r>
    </w:p>
    <w:p>
      <w:r>
        <w:rPr>
          <w:b/>
          <w:i w:val="0"/>
        </w:rPr>
        <w:t>方法：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146017四供体、31文库的全基因交互和四背景响应采用DESeq2与TMM/voom分析；按固定效应、模型和供体方向规则得到54基因集合及前12候选。GSE94335排除三个已知共享培养系后，保留13配对供体。新增GSE130715六成人、24文库检查完整54基因：主药物响应54项Holm，另三比较162项Holm；独立提取TPM并重新拟合计数模型，进行伪计数与六轮留一供体检查。早期ASM、成人DEX脉冲时间序列、A549药理、U2OS受体变体及人源HTPC蛋白资料分别分析，不合并实验单位或不同尺度效应。另整合已保存PXD033504完整上清数组的846项统一BH及56×2项Holm、原发表处理来源诊断和公开蛋白组设计核查。BioExplainR组织完整统计事实与范围；本稿整合不新增候选统计。</w:t>
      </w:r>
    </w:p>
    <w:p>
      <w:r>
        <w:rPr>
          <w:b/>
          <w:i w:val="0"/>
        </w:rPr>
        <w:t>结果：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原82,227项交互无一通过统一BH。54基因集合在新增成人ASM中53个可测基因均保持发现方向，50个6/6供体同向；45/54通过配对t与计数模型各自54项Holm且全部供体、伪计数及留一方向稳定。PER2配对差−0.934（点态95%CI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−1.044至−0.824；Holm54=0.000165），六供体均下调；计数效应−1.405（Holm54=3.09×10</w:t>
      </w:r>
      <w:r>
        <w:rPr>
          <w:b w:val="0"/>
          <w:i w:val="0"/>
          <w:vertAlign w:val="superscript"/>
        </w:rPr>
        <w:t>-8</w:t>
      </w:r>
      <w:r>
        <w:rPr>
          <w:b w:val="0"/>
          <w:i w:val="0"/>
        </w:rPr>
        <w:t>）。LINC00607由唯一官方注释映射为Entrez646324，在新增来源可测，上调+0.526（Holm54=0.0233）。BMAL1／NPAS2上调与NR1D2／DBP／TEF下调同时得到新增供体支持。精确六供体符号翻转全家族未确认。新增早期ASM与受体遗传数据未确认成人PER2早期诱导或遗传依赖。完整HTPC原LFQ数组中METTL7A24／72h均7/7日期供体标签上调；原表七标签与发表六供体的范围冲突保留，发表六标签子集72h通过、24h未通过新112项校正。上清数组中ANGPTL2／FSTL3取得肽段识别但有效配对不足；FBN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72h原范围+1.535（Holm112=.0127），发表六标签子集未通过（.270）。24h上清存档／发表处理差异未解决。</w:t>
      </w:r>
    </w:p>
    <w:p>
      <w:r>
        <w:rPr>
          <w:b/>
          <w:i w:val="0"/>
        </w:rPr>
        <w:t>结论：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数据支持成人ASM晚期转录响应的集合层面可重复性，并拓展时钟相关候选线索。现有证据支持PER2晚期抑制，尚不能确认成人同供体先升后降、节律相位／振幅、GR因果或收缩功能。新增价值是完整集合检查、供体分布和可定位证据整合；上清蛋白识别及范围敏感线索不能升级ASM分泌或功能确认；分析为结果后探索。</w:t>
      </w:r>
    </w:p>
    <w:p>
      <w:r>
        <w:rPr>
          <w:b/>
          <w:i w:val="0"/>
        </w:rPr>
        <w:t>关键词：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气道平滑肌；糖皮质激素；PER2；响应集合；供体配对；公开数据重分析</w:t>
      </w:r>
    </w:p>
    <w:p>
      <w:pPr>
        <w:pStyle w:val="Heading1"/>
      </w:pP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引言</w:t>
      </w:r>
    </w:p>
    <w:p>
      <w:r>
        <w:rPr>
          <w:b w:val="0"/>
          <w:i w:val="0"/>
        </w:rPr>
        <w:t>ASM具有收缩、分泌及激素诱导的转录响应。已有研究报告布地奈德（BUD）响应及CEBPD对该响应的调节[1,2]。公共数据再分析可进一步检验两类估计目标：处理是否存在调节交互，以及一组候选是否在所测背景中保持响应。交互不显著不证明背景等效，响应集合重复也不能替代机制检验。</w:t>
      </w:r>
    </w:p>
    <w:p>
      <w:r>
        <w:rPr>
          <w:b w:val="0"/>
          <w:i w:val="0"/>
        </w:rPr>
        <w:t>糖皮质激素与细胞钟的关系已有实验基础。发育期人ASM及成人来源细胞的时钟表达和钙调控已被研究[3]，跨组织GR转录响应也已公开[4]。因此，我们关注具体成人供体的晚期响应及可核对的不一致证据，不主张首次发现激素调节生物钟。PER2、PER3及其他时钟相关转录变化本身不能证明节律相位、振幅或功能改变。</w:t>
      </w:r>
    </w:p>
    <w:p>
      <w:r>
        <w:rPr>
          <w:b w:val="0"/>
          <w:i w:val="0"/>
        </w:rPr>
        <w:t>前轮利用GSE146017得到54基因跨四背景响应集，并固定前12候选，在GSE94335及药理／暴露安排中追踪[1,2,5,6]。本稿进一步检验完整54基因在GSE130715六成人供体中的重复程度[12]，并整合新增早期ASM、公开GR遗传及蛋白资料。统计由DESeq2、edgeR、limma完成[7–9]；BioExplainR提供事实及项目追踪，GEO提供表达来源[10]。</w:t>
      </w:r>
    </w:p>
    <w:p>
      <w:r>
        <w:rPr>
          <w:b w:val="0"/>
          <w:i w:val="0"/>
        </w:rPr>
        <w:t>本稿整合此前封存的发现、集合验证及后续上清／来源结果；下文“新增”指各分析阶段相对于原发现的数据扩展，不表示本次整合重新运行统计。</w:t>
      </w:r>
    </w:p>
    <w:p>
      <w:pPr>
        <w:pStyle w:val="Heading1"/>
      </w:pP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方法</w:t>
      </w:r>
    </w:p>
    <w:p>
      <w:pPr>
        <w:pStyle w:val="Heading2"/>
      </w:pPr>
      <w:r>
        <w:rPr>
          <w:b w:val="0"/>
          <w:i w:val="0"/>
        </w:rPr>
        <w:t>2.1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来源、单位与分析阶段</w:t>
      </w:r>
    </w:p>
    <w:p>
      <w:r>
        <w:rPr>
          <w:b w:val="0"/>
          <w:i w:val="0"/>
        </w:rPr>
        <w:t>表1列主要数据、独立单位及估计目标。GSE146017包含四非哮喘ASM供体、31文库，BUD100nM、TNFα10ng/ml、18h，含NT／CEBPD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siRNA四背景；一个敲低失败条件未测序[2]。GSE94335为BUD100nM24h的混合非哮喘／致死性哮喘供体[1]。GSE130715六成人（19–54岁）×对照／GNAS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siRNA×vehicle／BUD1µM24h，共24文库，年龄与配对由原论文表1及GEO核对[12]。GNAS与NR3C1为不同靶点。</w:t>
      </w:r>
    </w:p>
    <w:p>
      <w:r>
        <w:rPr>
          <w:b w:val="0"/>
          <w:i w:val="0"/>
        </w:rPr>
        <w:t>所有分析是探索性公共数据二次分析。原交互扫描阴性后制定响应筛选，前12候选在其外部表达提取前冻结；时间增补在初步结果后追加。v0.12阶段完整54基因扩展在六重点候选结果已知后制定，属于结果后探索。名单、方向、比较、映射和检验家族在完整集合提取前保存，不称盲法或前瞻注册。各阶段原方案、冻结和修订见补充方法S1–S11、补充表S12及S18。</w:t>
      </w:r>
    </w:p>
    <w:p>
      <w:r>
        <w:rPr>
          <w:b w:val="0"/>
          <w:i w:val="0"/>
        </w:rPr>
        <w:t>六新供体与旧GSE94335标签无exact重叠，但未知别名尚不能完全排除；不累加为19名独立供体。A549、HASM1、U2OS为细胞系培养实验；技术重复及平行RNA测量均不增加独立人数。不同药物、剂量、组织、培养与测量尺度分别记录。</w:t>
      </w:r>
    </w:p>
    <w:p>
      <w:pPr>
        <w:pStyle w:val="Heading2"/>
      </w:pPr>
      <w:r>
        <w:rPr>
          <w:b w:val="0"/>
          <w:i w:val="0"/>
        </w:rPr>
        <w:t>2.2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原全基因交互与集合固定</w:t>
      </w:r>
    </w:p>
    <w:p>
      <w:r>
        <w:rPr>
          <w:b w:val="0"/>
          <w:i w:val="0"/>
        </w:rPr>
        <w:t>GSE146017总计数≥10保留27,409基因，DESeq2设计</w:t>
      </w:r>
      <w:r>
        <w:rPr>
          <w:rFonts w:ascii="DejaVu Sans Mono" w:hAnsi="DejaVu Sans Mono"/>
          <w:b w:val="0"/>
          <w:i w:val="0"/>
          <w:sz w:val="18"/>
        </w:rPr>
        <w:t>~donor+kd*bud*tnf</w:t>
      </w:r>
      <w:r>
        <w:rPr>
          <w:b w:val="0"/>
          <w:i w:val="0"/>
        </w:rPr>
        <w:t>，保留原size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factors与dispersion。三个预定交互×全部基因共82,227项，非有限P按1纳入统一BH[11]。另从原计数进行TMM/voom/eBayes。每模型四背景响应×27,409基因共109,636项统一BH，两个模型各自执行，非逐背景校正。</w:t>
      </w:r>
    </w:p>
    <w:p>
      <w:r>
        <w:rPr>
          <w:b w:val="0"/>
          <w:i w:val="0"/>
        </w:rPr>
        <w:t>集合要求baseMean≥10；四背景DESeq2效应同向且每项绝对log2FC≥0.5；两模型每背景BH&lt;.05且同向；每背景至少三个可用供体的log2规范化计数配对响应均同向；四轮留一供体voom保持方向。得到54基因，按四背景最弱绝对Wald统计量降序、EnsemblID升序排列，固定前12。完整集合及全部留一结果见补充表S1／S1b；原12候选估计见S2。两模型及留一使用同来源，不是独立生物学重复。</w:t>
      </w:r>
    </w:p>
    <w:p>
      <w:pPr>
        <w:pStyle w:val="Heading2"/>
      </w:pPr>
      <w:r>
        <w:rPr>
          <w:b w:val="0"/>
          <w:i w:val="0"/>
        </w:rPr>
        <w:t>2.3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旧13供体外部检查</w:t>
      </w:r>
    </w:p>
    <w:p>
      <w:r>
        <w:rPr>
          <w:b w:val="0"/>
          <w:i w:val="0"/>
        </w:rPr>
        <w:t>GSE94335的GEO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donor字段逐文库唯一，原论文补充表E1的Cell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Line恢复配对。28793/28796标注冲突或配对不明，维持原排除；原N012412两文库未出现在当前TPM。另排除N010912、N051911、N061311三个已知共享培养系，保留13供体（4非哮喘／9致死性哮喘、26文库）。</w:t>
      </w:r>
    </w:p>
    <w:p>
      <w:r>
        <w:rPr>
          <w:b w:val="0"/>
          <w:i w:val="0"/>
        </w:rPr>
        <w:t>同基因全部transcript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相加，估计每供体BUD−vehicle的log2(TPM+1)差。12候选×合并／两病组／病组差共48项Holm；配对t及Welch给点态95%CI。精确符号翻转／标签枚举另48项Holm。原LINC00607无注释，P=1保留四校正位置但效应及CI为空。定义重复为合并校正通过且同向；原结果保留11/12冻结分母与11/11可测分母。补充表S3给全部响应／病组差，补充表S4给逐供体效应，补充表S5给伪计数和留一方向，补充表S11提供原基因测量，分别核对估计量与单位。</w:t>
      </w:r>
    </w:p>
    <w:p>
      <w:pPr>
        <w:pStyle w:val="Heading2"/>
      </w:pPr>
      <w:r>
        <w:rPr>
          <w:b w:val="0"/>
          <w:i w:val="0"/>
        </w:rPr>
        <w:t>2.4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新成人ASM完整54基因检查</w:t>
      </w:r>
    </w:p>
    <w:p>
      <w:r>
        <w:rPr>
          <w:b w:val="0"/>
          <w:i w:val="0"/>
        </w:rPr>
        <w:t>完整名单由原</w:t>
      </w:r>
      <w:r>
        <w:rPr>
          <w:rFonts w:ascii="DejaVu Sans Mono" w:hAnsi="DejaVu Sans Mono"/>
          <w:b w:val="0"/>
          <w:i w:val="0"/>
          <w:sz w:val="18"/>
        </w:rPr>
        <w:t>priority_pass=TRUE</w:t>
      </w:r>
      <w:r>
        <w:rPr>
          <w:b w:val="0"/>
          <w:i w:val="0"/>
        </w:rPr>
        <w:t>54条直接提取，不按新表现重排。官方HGNC按exact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Ensembl、Approved状态提供唯一Entrez映射，在候选提取前封存；缺失、多重映射和输入缺测均保留位置。HGNC现官方名TMT1A对应METTL7A，BMAL1对应文献常用ARNTL，稳定ID不变。HGNC原响应与映射冻结保存在新研究</w:t>
      </w:r>
      <w:r>
        <w:rPr>
          <w:rFonts w:ascii="DejaVu Sans Mono" w:hAnsi="DejaVu Sans Mono"/>
          <w:b w:val="0"/>
          <w:i w:val="0"/>
          <w:sz w:val="18"/>
        </w:rPr>
        <w:t>sources/</w:t>
      </w:r>
      <w:r>
        <w:rPr>
          <w:b w:val="0"/>
          <w:i w:val="0"/>
        </w:rPr>
        <w:t>及</w:t>
      </w:r>
      <w:r>
        <w:rPr>
          <w:rFonts w:ascii="DejaVu Sans Mono" w:hAnsi="DejaVu Sans Mono"/>
          <w:b w:val="0"/>
          <w:i w:val="0"/>
          <w:sz w:val="18"/>
        </w:rPr>
        <w:t>annotation_freeze.json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主比较为对照siRNA背景BUD−vehicle，全部54项双侧配对t为一个Holm家族；另54项精确符号翻转形成对应家族。次级比较为GNAS背景药物响应、GNAS×BUD直接交互、vehicle下GNAS效应，54×3=162项Holm，参数与精确分别执行。缺测P=1占位，CI为空。原六重点候选44项family原样保留，其P值不与新的54／162项混写。</w:t>
      </w:r>
    </w:p>
    <w:p>
      <w:r>
        <w:rPr>
          <w:b w:val="0"/>
          <w:i w:val="0"/>
        </w:rPr>
        <w:t>主尺度为log2(TPM+1)供体配对差，逐供体公开。伪计数0.1／0.5／1及六次留一供体t／CI用于方向敏感性。从28,395原整数计数重新构建</w:t>
      </w:r>
      <w:r>
        <w:rPr>
          <w:rFonts w:ascii="DejaVu Sans Mono" w:hAnsi="DejaVu Sans Mono"/>
          <w:b w:val="0"/>
          <w:i w:val="0"/>
          <w:sz w:val="18"/>
        </w:rPr>
        <w:t>~donor+kd*gc</w:t>
      </w:r>
      <w:r>
        <w:rPr>
          <w:b w:val="0"/>
          <w:i w:val="0"/>
        </w:rPr>
        <w:t>，固定filterByExpr、TMM、voom/eBayes，逐基因采用</w:t>
      </w:r>
      <w:r>
        <w:rPr>
          <w:rFonts w:ascii="DejaVu Sans Mono" w:hAnsi="DejaVu Sans Mono"/>
          <w:b w:val="0"/>
          <w:i w:val="0"/>
          <w:sz w:val="18"/>
        </w:rPr>
        <w:t>c'(X'WX)^−1c</w:t>
      </w:r>
      <w:r>
        <w:rPr>
          <w:b w:val="0"/>
          <w:i w:val="0"/>
        </w:rPr>
        <w:t>与moderated方差／df得到精确加权对比。另六次留一供体重做过滤与完整模型。补充表S14保存两模型全部主／次级比较，S15逐供体效应，S16记录TPM伪计数／留一，S16b记录新计数留一，S17汇总完整54位置；各敏感性只检验所述稳健性。</w:t>
      </w:r>
    </w:p>
    <w:p>
      <w:r>
        <w:rPr>
          <w:b w:val="0"/>
          <w:i w:val="0"/>
        </w:rPr>
        <w:t>分别统计可测、同向、6/6预期方向及参数／计数各自Holm&lt;.05。综合支持标准预定为两模型同向且校正通过、6/6预期方向、三伪计数和六次TPM留一、六次计数留一均保持方向。此标准是模型和供体敏感性，不是预测性能或功能确认。完整216项对比、供体效应、敏感性及54条汇总见补充表S14–S17。</w:t>
      </w:r>
    </w:p>
    <w:p>
      <w:pPr>
        <w:pStyle w:val="Heading2"/>
      </w:pPr>
      <w:r>
        <w:rPr>
          <w:b w:val="0"/>
          <w:i w:val="0"/>
        </w:rPr>
        <w:t>2.5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时间、受体和蛋白交叉证据</w:t>
      </w:r>
    </w:p>
    <w:p>
      <w:r>
        <w:rPr>
          <w:b w:val="0"/>
          <w:i w:val="0"/>
        </w:rPr>
        <w:t>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GSE229084原47文库、四batch，固定过滤保留15,437基因，设计秩15／df32。12候选×DEX短暴露／三个药理交互共48项Holm，精确逐基因加权协方差。短安排16hDMSO→2hDEX，长安排2hDEX→16h继续DEX，总窗口均18h；直接长−短与HASM1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DEX24h−4h共24项Holm。HASM1缺逐时匹配vehicle，仅估计暴露条件差。补充表S6给A549药理全候选，S7长暴露边际，S8HASM1两处理条件，S9两个实验直接差；S10保留原12完整证据摘要，便于核对不重复与缺测。</w:t>
      </w:r>
    </w:p>
    <w:p>
      <w:r>
        <w:rPr>
          <w:b w:val="0"/>
          <w:i w:val="0"/>
        </w:rPr>
        <w:t>GSE13168三配对供体8hFP采用GCRMA；PKI为PKA抑制转基因，非GR敲低[15]。GSE1357304hDEX／IL17A采用log2(RPKM+1)，匿名培养系年龄及配对不明。前者11×4=44、后者11×3=33项Holm；不拼接不同来源为同供体时间曲线。Bartman2021成人ASM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DEX30min脉冲洗去后12／16／20／24h匹配vehicle，只有发表Tukey表，无个体Ct／协方差，保留作者统计不重建交互[3]。</w:t>
      </w:r>
    </w:p>
    <w:p>
      <w:r>
        <w:rPr>
          <w:b w:val="0"/>
          <w:i w:val="0"/>
        </w:rPr>
        <w:t>GSE342887／342771为U2OS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GR-KO背景WTα、AF2-E755R及IDRΔ1–398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rescue，CORT100nM90min；成熟RNA18／新生RNA17文库，各11×5=55项Holm，精确WLS。无empty-KO组，不能完整比较KO→WT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rescue；两RNA测量为平行来源，且原文为未同行评审预印本[14]。</w:t>
      </w:r>
    </w:p>
    <w:p>
      <w:r>
        <w:rPr>
          <w:b w:val="0"/>
          <w:i w:val="0"/>
        </w:rPr>
        <w:t>HTPC原论文及选中补充表报告六成人供体，每供体／条件三技术重复先在log2LFQ平均，原22项Holm及五共有供体直接差11项保留[16]。此前分析从PRIDE固实7z取得完整未预筛proteinGroups、样本解码与参数，2998段HTTP206及6成员CRC核对；不声称整个容器上游SHA1通过。原数组每时点七日期供体标签、42列，与论文六供体／36列不同，额外10.09.19标签年龄及作者QC不明；原MaxQuant参数1.6.15.0与发表1.6.11.0冲突保留。</w:t>
      </w:r>
    </w:p>
    <w:p>
      <w:r>
        <w:rPr>
          <w:b w:val="0"/>
          <w:i w:val="0"/>
        </w:rPr>
        <w:t>新蛋白名单在候选LFQ提取前固定为原54＋PER1／NR3C1控制，共56×2=112项Holm，精确检验另112。去reverse／污染／site-only，仅唯一单gene蛋白组；LFQ0视缺测、不填补，每供体／条件至少2/3技术测量，平均log2LFQ后配对，至少三供体可估计。发表六标签子集另112项；共有原标签直接72h−24h及仅发表共有标签各56项Holm作为结果后敏感性。两时点不同LC梯度／assay，直接差不是绝对蛋白累积动力学。全部规则、测量与范围冲突见补充方法S8、补充表S23–S25。蛋白／功能原文不把跨组织GR／cAMP或胎儿PER1／ARNTL钙实验归为成人PER2功能[3,13]。</w:t>
      </w:r>
    </w:p>
    <w:p>
      <w:pPr>
        <w:pStyle w:val="Heading2"/>
      </w:pPr>
      <w:r>
        <w:rPr>
          <w:b w:val="0"/>
          <w:i w:val="0"/>
        </w:rPr>
        <w:t>2.6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完整上清数组、处理来源及公开设计核查</w:t>
      </w:r>
    </w:p>
    <w:p>
      <w:r>
        <w:rPr>
          <w:b w:val="0"/>
          <w:i w:val="0"/>
        </w:rPr>
        <w:t>PXD033504为同一HTPC研究的24／72h培养上清[16]。已保存两个完整未预筛proteinGroups、原解码、参数和summary；4,170个成功HTTP206段及header覆盖完整容器，两个上游SHA1和8成员CRC通过。24h六日期标签／36技术列与发表一致；72h八日期标签／48列，比发表六标签多10.09.19与18.11.14，额外标签年龄／QC未知。两上清MaxQuant均1.6.11.0，与论文一致，区别于胞内1.6.15.0冲突。</w:t>
      </w:r>
    </w:p>
    <w:p>
      <w:r>
        <w:rPr>
          <w:b w:val="0"/>
          <w:i w:val="0"/>
        </w:rPr>
        <w:t>上清QC去reverse／污染／site-only，全数组两时点466＋380＝846位置统一BH；未可估计P=1保留位置。固定原54＋PER1／NR3C1共56×2项另Holm112，只使用唯一single-gene组；LFQ0为缺测、不填补，每条件至少2/3技术值在log2尺度平均，至少三个日期配对才估计。严格3/3技术阈值与发表六标签子集各另112项Holm；共有标签直接72−24药物响应差另56项。效应为上清相对丰度，非每细胞单位时间分泌速率。上清和胞内属于同一来源，不增加独立ASM队列。完整家族与测量见补充表S27–S34，留一见S42。</w:t>
      </w:r>
    </w:p>
    <w:p>
      <w:r>
        <w:rPr>
          <w:b w:val="0"/>
          <w:i w:val="0"/>
        </w:rPr>
        <w:t>来源诊断固定四原数组／原解码／发表Table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S2，按Protein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IDs精确匹配优先、唯一Majority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IDs回退；非零log2LFQ与四位发表值容差0.000051，ALL总Intensity单独比较。另核对四数组日期／条件／重复及六个LFQ或Intensity除以肽数公式；诊断不产生效应P值、不拟合修正发表表，见S35／S36。</w:t>
      </w:r>
    </w:p>
    <w:p>
      <w:r>
        <w:rPr>
          <w:b w:val="0"/>
          <w:i w:val="0"/>
        </w:rPr>
        <w:t>公开来源复核包括PRIDE15查询18页、391唯一项目及21气道／平滑肌线索（S37／S38），范围非全球穷尽。HBEC43样本用作者SRDF和community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SDRF双源核对（S39）。PXD055968通过已取得部分数据库字节检查18个单run版本／结构（S40），缺件见S41；并未取得最终联合定量或启动候选身份统计。设计核查不等同新增ASM验证。</w:t>
      </w:r>
    </w:p>
    <w:p>
      <w:pPr>
        <w:pStyle w:val="Heading2"/>
      </w:pPr>
      <w:r>
        <w:rPr>
          <w:b w:val="0"/>
          <w:i w:val="0"/>
        </w:rPr>
        <w:t>2.7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实际R包应用与复核</w:t>
      </w:r>
    </w:p>
    <w:p>
      <w:r>
        <w:rPr>
          <w:b w:val="0"/>
          <w:i w:val="0"/>
        </w:rPr>
        <w:t>新集合实际源码载入BioExplainR0.4.0.9000，构建TPM／计数各主／次级四context、项目与双语HTML，在线模型调用0；新完整蛋白另实际1context／双语报告。R从原TPM独立核对1,272测量及212可测比较；Python从原count核对1,272测量、1,060WLS数值、54／162校正和2,385项TPM敏感性数值及324条计数留一方向。R从原proteinGroups复核924LFQ测量、784供体行、11可测统计及112Holm，Python核对范围/成员CRC、144原与发表测量及敏感性。已保存上清R独立复核35,016原LFQ、5,836日期组行、846／112家族、224敏感性、56直接差及26留一方向通过；四数组来源诊断R核对281,232测量／31,228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位置，OOXML独立解码23,436发表测量。上清及来源诊断各实际两个context／双语报告，在线调用均0；本稿整合复用这些保存结果。TMM／voom／moderation未跨语言重拟合。包事实计数保留完整分母，综合支持标准另在统计汇总应用。</w:t>
      </w:r>
    </w:p>
    <w:p>
      <w:r>
        <w:rPr>
          <w:b w:val="0"/>
          <w:i w:val="0"/>
        </w:rPr>
        <w:t>前轮软件共同任务准确率与计时见补充表S13a，任务级配对区间见补充表S13b；SPARCL1不可估计时的固定FKBP5控制见补充表S13c，ChIP窗口重叠见补充表S13d。各自范围及失败完整保留，不作为本稿候选机制证据。新旧输入、脚本、错误、UTC、版本及hash均绑定新交付清单，旧成果原路径保留。</w:t>
      </w:r>
    </w:p>
    <w:p>
      <w:pPr>
        <w:pStyle w:val="Heading1"/>
      </w:pP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</w:t>
      </w:r>
    </w:p>
    <w:p>
      <w:pPr>
        <w:pStyle w:val="Heading2"/>
      </w:pPr>
      <w:r>
        <w:rPr>
          <w:b w:val="0"/>
          <w:i w:val="0"/>
        </w:rPr>
        <w:t>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原发现集合与旧来源重复</w:t>
      </w:r>
    </w:p>
    <w:p>
      <w:r>
        <w:rPr>
          <w:b w:val="0"/>
          <w:i w:val="0"/>
        </w:rPr>
        <w:t>原82,227项交互无一BH&lt;.05，最小统一BH=.3515，限定所测数据交互证据而非证明无作用。按另一响应估计目标得到54基因集合，前12依次为PER3、ANGPTL2、LINC00607、TEF、METTL7A、TSC22D3、FSTL3、GCNT1、MAOA、ZBTB16、FKBP5、PER2。图1及补充表S1／S2展示原背景证据，保留原排名。</w:t>
      </w:r>
    </w:p>
    <w:p>
      <w:r>
        <w:rPr>
          <w:b w:val="0"/>
          <w:i w:val="0"/>
        </w:rPr>
        <w:t>旧13供体11个可测候选全部通过各48项t／精确Holm，原LINC00607缺测。因此旧来源仍为11/12冻结、11/11可测；10候选13/13同向，GCNT1为12↑／1↓。PER2−.915（95%CI−1.048至−.782；tHolm1.55×10</w:t>
      </w:r>
      <w:r>
        <w:rPr>
          <w:b w:val="0"/>
          <w:i w:val="0"/>
          <w:vertAlign w:val="superscript"/>
        </w:rPr>
        <w:t>-7</w:t>
      </w:r>
      <w:r>
        <w:rPr>
          <w:b w:val="0"/>
          <w:i w:val="0"/>
        </w:rPr>
        <w:t>），PER3−2.082；METTL7A+2.044、MAOA+2.561。补充图S1显示全部固定候选的旧13供体平均响应与点态区间，保留缺测和GCNT1例外；病组差全部未通过，不证明疾病来源等效。</w:t>
      </w:r>
    </w:p>
    <w:p>
      <w:pPr>
        <w:pStyle w:val="Heading2"/>
      </w:pPr>
      <w:r>
        <w:rPr>
          <w:b w:val="0"/>
          <w:i w:val="0"/>
        </w:rPr>
        <w:t>3.2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完整54基因在六成人中的扩展检查</w:t>
      </w:r>
    </w:p>
    <w:p>
      <w:r>
        <w:rPr>
          <w:b w:val="0"/>
          <w:i w:val="0"/>
        </w:rPr>
        <w:t>表2公开完整分母及各检查层级，图2按原集合顺序展示六供体响应。54基因全部取得唯一HGNC映射，53个在原计数／TPM可测，LINC03140未出现在原输入，保留缺测位置。53/53平均响应与发现方向一致，50/53六供体全部预期方向。主配对t为45/54通过Holm，计数模型为51/54；45/54同时满足两模型、全部供体及全部敏感性方向标准。</w:t>
      </w:r>
    </w:p>
    <w:p>
      <w:r>
        <w:rPr>
          <w:b w:val="0"/>
          <w:i w:val="0"/>
        </w:rPr>
        <w:t>综合支持比例为45/54冻结分母（83.3%）及45/53可测分母（84.9%），是所测集合的描述性比例，不是人群预测性能。计数模型秩9、df15，28,395基因保留14,692，六次留一模型秩8／df12。52个保持TPM伪计数／留一方向，52个保持计数留一方向；GABBR2均值接近零且留一不稳定。八个可测基因未满足综合标准，包括NEFM、GABBR2、VGLL3、LRRC15、SEMA6D、PTGER2、ANKRD1、TIPE3，全部原估计保留于补充表S17。</w:t>
      </w:r>
    </w:p>
    <w:p>
      <w:r>
        <w:rPr>
          <w:b w:val="0"/>
          <w:i w:val="0"/>
        </w:rPr>
        <w:t>六供体双侧精确符号翻转最小P=2/64=.03125，54项Holm全家族无一通过。这反映该小样本完整家族的分辨率限制；参数与计数证据、精确未确认均同时报告，不把它们合称稳健非参数确认。</w:t>
      </w:r>
    </w:p>
    <w:p>
      <w:pPr>
        <w:pStyle w:val="Heading2"/>
      </w:pPr>
      <w:r>
        <w:rPr>
          <w:b w:val="0"/>
          <w:i w:val="0"/>
        </w:rPr>
        <w:t>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时钟相关线索与LINC00607的新增可测证据</w:t>
      </w:r>
    </w:p>
    <w:p>
      <w:r>
        <w:rPr>
          <w:b w:val="0"/>
          <w:i w:val="0"/>
        </w:rPr>
        <w:t>表3按原集合排名列时钟相关基因及LINC00607。PER2−.934（CI−1.044至−.824；Holm54=.000165）、PER3−2.311（Holm54=.000934）均6/6下调。新增成人ASM亦显示BMAL1+1.138（.00474）、NPAS2+.727（.000596）、NR1D2−1.345（.000937）、DBP−1.060（.00679）、TEF−1.051（.000165），各6/6预期方向，并通过计数与留一方向标准。这是事后描述的多个时钟相关转录线索，不是预定通路富集检验或节律模型。</w:t>
      </w:r>
    </w:p>
    <w:p>
      <w:r>
        <w:rPr>
          <w:b w:val="0"/>
          <w:i w:val="0"/>
        </w:rPr>
        <w:t>LINC00607在旧GSE94335缺注释，旧airway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DEX18h不支持（−.082、BH=.915），两条限制保留。此前分析官方Ensembl→Entrez646324唯一映射后，在GSE130715可测：配对差+.526（CI+.302至+.750；Holm54=.0233），6/6上调；计数+.776（Holm54=8.10×10</w:t>
      </w:r>
      <w:r>
        <w:rPr>
          <w:b w:val="0"/>
          <w:i w:val="0"/>
          <w:vertAlign w:val="superscript"/>
        </w:rPr>
        <w:t>-5</w:t>
      </w:r>
      <w:r>
        <w:rPr>
          <w:b w:val="0"/>
          <w:i w:val="0"/>
        </w:rPr>
        <w:t>），全部敏感性方向保持。此结果说明它并非在所有外部来源均不可测，但不更改旧缺测分母，不证明所有条件泛化或特异异构体机制。</w:t>
      </w:r>
    </w:p>
    <w:p>
      <w:r>
        <w:rPr>
          <w:b w:val="0"/>
          <w:i w:val="0"/>
        </w:rPr>
        <w:t>METTL7A／TMT1A、MAOA、ANGPTL2、FSTL3延续各六供体同向。新完整54family的效应不变，校正P不同于旧44family；其单位与来源分别标注。表3与补充表S17不按新增显著性重新替换原12名单。</w:t>
      </w:r>
    </w:p>
    <w:p>
      <w:pPr>
        <w:pStyle w:val="Heading2"/>
      </w:pPr>
      <w:r>
        <w:rPr>
          <w:b w:val="0"/>
          <w:i w:val="0"/>
        </w:rPr>
        <w:t>3.4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时间与GR证据收束</w:t>
      </w:r>
    </w:p>
    <w:p>
      <w:r>
        <w:rPr>
          <w:b w:val="0"/>
          <w:i w:val="0"/>
        </w:rPr>
        <w:t>A549短DEX2h的PER2+1.092，KH103／MIF／Cort113三直接药理交互−.935／−.972／−.922，原48项Holm通过；长暴露效应+.175未显著负向，直接长−短−.917（Holm24=1.45×10</w:t>
      </w:r>
      <w:r>
        <w:rPr>
          <w:b w:val="0"/>
          <w:i w:val="0"/>
          <w:vertAlign w:val="superscript"/>
        </w:rPr>
        <w:t>-9</w:t>
      </w:r>
      <w:r>
        <w:rPr>
          <w:b w:val="0"/>
          <w:i w:val="0"/>
        </w:rPr>
        <w:t>）。补充图S2并列其药理差中差及短／长暴露效应，强调总培养同18h；HASM1直接24h−4h−1.651（参数Holm24=.0139），精确校正未确认。结果支持这些培养条件的差异，非成人同供体方向反转。</w:t>
      </w:r>
    </w:p>
    <w:p>
      <w:r>
        <w:rPr>
          <w:b w:val="0"/>
          <w:i w:val="0"/>
        </w:rPr>
        <w:t>新增早期ASM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PER2：GSE1357304h+.111（Holm33=1），GSE13168的8h+.691（Holm44=1），均未确认早期诱导。Bartman2021成人匹配vehicle的24h药物对比原Tukey=.7831，DEX组24h−12h=.0498是处理组内时间差，不能替代药物×时间；原Ct缺失无法重算交互。</w:t>
      </w:r>
    </w:p>
    <w:p>
      <w:r>
        <w:rPr>
          <w:b w:val="0"/>
          <w:i w:val="0"/>
        </w:rPr>
        <w:t>U2OS遗传变体中PER2成熟RNA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AF2×药物−.337（Holm55=1），新生RNA−.424（.348），未确认受体变体依赖。PER1控制的AF2交互分别−.776（9.05×10</w:t>
      </w:r>
      <w:r>
        <w:rPr>
          <w:b w:val="0"/>
          <w:i w:val="0"/>
          <w:vertAlign w:val="superscript"/>
        </w:rPr>
        <w:t>-6</w:t>
      </w:r>
      <w:r>
        <w:rPr>
          <w:b w:val="0"/>
          <w:i w:val="0"/>
        </w:rPr>
        <w:t>）、−1.569（.00383）通过，但不替代PER2；补充图S3展示两RNA直接遗传交互及各点态区间，阳性控制与PER2分别解释。GNAS×BUD候选直接交互亦不能转写为GR因果。图3整合上述不同证据层级，新增ASM检验见补充表S19，受体遗传全表见补充表S20，原选中人蛋白数组统计见补充表S21。</w:t>
      </w:r>
    </w:p>
    <w:p>
      <w:pPr>
        <w:pStyle w:val="Heading2"/>
      </w:pPr>
      <w:r>
        <w:rPr>
          <w:b w:val="0"/>
          <w:i w:val="0"/>
        </w:rPr>
        <w:t>3.5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蛋白支持、缺测与范围核查</w:t>
      </w:r>
    </w:p>
    <w:p>
      <w:r>
        <w:rPr>
          <w:b w:val="0"/>
          <w:i w:val="0"/>
        </w:rPr>
        <w:t>人源HTPC原选中数组中METTL7A24h+.921（Holm22=.0437）及72h+1.504（.00261），均六供体上调。精确Holm=.688；五共享供体直接72h−24h+.688（Holm11=.412），原处理表未确认进一步增幅。原数值不变。</w:t>
      </w:r>
    </w:p>
    <w:p>
      <w:r>
        <w:rPr>
          <w:b w:val="0"/>
          <w:i w:val="0"/>
        </w:rPr>
        <w:t>完整原LFQ数组新112项检验中11项可估计、4项通过，为METTL7A与FKBP5两时点。METTL7A24h+.830（点态CI+.610至+1.049；Holm112=.00990）及72h+1.396（+1.287至+1.506；7.96×10</w:t>
      </w:r>
      <w:r>
        <w:rPr>
          <w:b w:val="0"/>
          <w:i w:val="0"/>
          <w:vertAlign w:val="superscript"/>
        </w:rPr>
        <w:t>-6</w:t>
      </w:r>
      <w:r>
        <w:rPr>
          <w:b w:val="0"/>
          <w:i w:val="0"/>
        </w:rPr>
        <w:t>），均7/7原日期标签上调，全部精确Holm未确认。发表六标签敏感性24h+.834（Holm112=.0574）未通过，72h+1.391（.000160）通过。六原共有标签直接药物响应差+.652（Holm56=.00268）；仅五发表共有标签+.657（.0237），但两assay/梯度差与缺测处理限定为探索性响应差。</w:t>
      </w:r>
    </w:p>
    <w:p>
      <w:r>
        <w:rPr>
          <w:b w:val="0"/>
          <w:i w:val="0"/>
        </w:rPr>
        <w:t>原表与发表METTL7A/FKBP5的144技术测量比对：142非零原LFQ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与发表值在四位小数舍入内一致，2项原LFQ0有发表有限值，未取得其作者处理机制；本轮不填补。额外供体标签与版本冲突无法由统计消除。缺少原LFQ的PER2／PER3不作蛋白阴性，跨组织及同来源重分析不增加独立供体队列。完整文件列表见补充表S22，主原112项见S23，发表子集见S24，原／发表共有标签直接差见S24b／S24c，原发表标签差异见S24d，原测量与缺测见S25、逐格原发表比较见S25b；补充表S26归纳六种METTL7A估计目标及分母，补充图S4显示已保存无预筛METTL7A全部供体标签。</w:t>
      </w:r>
    </w:p>
    <w:p>
      <w:r>
        <w:rPr>
          <w:b w:val="0"/>
          <w:i w:val="0"/>
        </w:rPr>
        <w:t>PXD081613的PRIDE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human与实际mouse搜索／注释冲突仍未解决，PER2缺测不记阴性。ASM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GRαsiRNA／rapidcAMP与胎儿PER1／ARNTL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²⁺原文已核对[3,13]，没有成人PER2／METTL7A候选功能。GSE42538补获元数据：四女性供体子宫内膜基质细胞、NT／GR／MRsiRNA共12数组，所有条件均含cAMP／孕酮／可的松蜕膜化四天，无无药物因子，不能估计完整NR3C1×GC交互；本轮按设计排除，未进行候选统计。</w:t>
      </w:r>
    </w:p>
    <w:p>
      <w:pPr>
        <w:pStyle w:val="Heading2"/>
      </w:pPr>
      <w:r>
        <w:rPr>
          <w:b w:val="0"/>
          <w:i w:val="0"/>
        </w:rPr>
        <w:t>3.6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完整上清候选：识别、配对不足与范围敏感线索</w:t>
      </w:r>
    </w:p>
    <w:p>
      <w:r>
        <w:rPr>
          <w:b w:val="0"/>
          <w:i w:val="0"/>
        </w:rPr>
        <w:t>上清24／72h原600／531组，QC466／380组，194／153可估计；统一846项BH分别7／16通过，精确全家族0通过。固定56×2候选4项可估计、1项Holm通过，精确Holm0通过；完整分母见表4与补充表S27／S28。图4显示四重点候选的全部可用日期效应及缺测，补充图S5给完整数组背景，不把不可估计画成零效应。</w:t>
      </w:r>
    </w:p>
    <w:p>
      <w:r>
        <w:rPr>
          <w:b w:val="0"/>
          <w:i w:val="0"/>
        </w:rPr>
        <w:t>ANGPTL2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h为14条肽／13条unique肽、覆盖37.3%，仅两个合格日期配对−.453／−1.088，低于至少三配对规则；72h未检出不作阴性。FSTL3两时点各2条unique肽，有效LFQ配对均0。UniProt保存注释支持两者Secreted／信号肽身份，但不能从识别推断DEX分泌响应或特定分泌异构体。补充表S29／S32保留逐日期与识别分层。</w:t>
      </w:r>
    </w:p>
    <w:p>
      <w:r>
        <w:rPr>
          <w:b w:val="0"/>
          <w:i w:val="0"/>
        </w:rPr>
        <w:t>FBN2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72h原八标签范围内7/7可测配对↑，+1.535（点态95%CI+1.112至+1.958；Holm112=.0127）；严格3/3技术测量6/6↑，+1.419（.0259）。发表六标签仅五对可测，+1.466（.270）未通过；直接72−24五共有对+1.397（Holm56=.187）未通过，精确全家族亦未确认。因此是供体范围敏感的跨组织细胞外蛋白线索，不能写成发表六成人或ASM分泌确认。PTX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24h+.620、6/6↑，Holm112=.592未通过；72h未通过且一轮留一方向反转。敏感性与直接差见S30／S31，完整留一见S42。</w:t>
      </w:r>
    </w:p>
    <w:p>
      <w:r>
        <w:rPr>
          <w:b w:val="0"/>
          <w:i w:val="0"/>
        </w:rPr>
        <w:t>已有原ASM文献报告PTX3的DEX分时上清ELISA及RU486药理支持[18]；不是本轮首次发现。原文年龄未列、五independent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experiments不作五已核实供体，正文／图注24与48h及promoter叙述冲突保留；没有逐供体ELISA数组供本稿重算，也不是NR3C1遗传因果。该已有文献支持不改变HTPC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PTX3全家族未通过，亦不替代PER2／METTL7A／ANGPTL2／FSTL3验证。</w:t>
      </w:r>
    </w:p>
    <w:p>
      <w:r>
        <w:rPr>
          <w:b w:val="0"/>
          <w:i w:val="0"/>
        </w:rPr>
        <w:t>四原数组来源诊断中，胞内24／72h与上清72h的非零LFQ分别4,543／14,829／2,128项全部与发表舍入一致；24h上清0/803一致。其ALL仅9/467总Intensity相等，9项均双方零，正值一致0；另外25原LFQ0却发表有限。其他数组交叉对应和六公式均未匹配，不是简单整表互换或统一偏移，处理原因仍未确认。上清72h还有320原LFQ0／发表有限值，本轮不填补。24h结果明确为存档数组重分析，不称原Perseus复现。补充表S35／S36和补充图S6展示诊断及其边界。</w:t>
      </w:r>
    </w:p>
    <w:p>
      <w:pPr>
        <w:pStyle w:val="Heading2"/>
      </w:pPr>
      <w:r>
        <w:rPr>
          <w:b w:val="0"/>
          <w:i w:val="0"/>
        </w:rPr>
        <w:t>3.7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EV最终导出缺件与公开来源适用性</w:t>
      </w:r>
    </w:p>
    <w:p>
      <w:r>
        <w:rPr>
          <w:b w:val="0"/>
          <w:i w:val="0"/>
        </w:rPr>
        <w:t>PXD055968是患者原代BSM培养上清72h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EV来源，六患者各三repeat共18run，无受控GC／vehicle因素[17]。PRIDE56项文件清单及原映射已核对；18个存档pdResult均PD3.1.0.638／CHIMERYS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inferys3.0／2024库，与论文PD3.0／inferys2.1／2023及PRIDE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2.5／Mascot／Proline／2020差异保留。每个均一RAW／一sample、CWF_ID，54张target蛋白／蛋白组／肽组表无最终丰度列；Minora／PSM强度不等于最终联合定量。部分字节结构核查不能声称整18数据库SHA1通过。正确版本的未差异预筛蛋白组×18run矩阵、workflow、缺测及肽映射、六患者年龄／成人确认和重复层级仍缺，身份检查未冻结／启动；材料请求仍为草稿、未发送（S40／S41）。选中IPA糖酵解表不能替代完整矩阵，EV检出亦不能升级GC响应或主动分泌。</w:t>
      </w:r>
    </w:p>
    <w:p>
      <w:r>
        <w:rPr>
          <w:b w:val="0"/>
          <w:i w:val="0"/>
        </w:rPr>
        <w:t>另有成人ASM慢性咳嗽研究的11健康／6咳嗽来源、32因子Luminex上清面板及FP＋polyIC条件[19]；它是特定因子面板，不是固定候选完整未筛蛋白组，不能由面板缺席转写候选阴性。</w:t>
      </w:r>
    </w:p>
    <w:p>
      <w:r>
        <w:rPr>
          <w:b w:val="0"/>
          <w:i w:val="0"/>
        </w:rPr>
        <w:t>公开清点15查询18页437查询命中／391唯一项目，21气道／平滑肌文本线索经设计审查，本轮未取得合格成人原代ASM受控GC上清数组；这不是数据不存在的证据。公开存档／处理表可匿名下载，联系作者仅针对尚缺材料。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PXD063431为癌细胞系DEX胞内蛋白；PXD003963／003965／003971为真皮成纤维细胞上清鉴定mzTab，无跨样本丰度矩阵；均不替代ASM验证（S37／S38）。</w:t>
      </w:r>
    </w:p>
    <w:p>
      <w:r>
        <w:rPr>
          <w:b w:val="0"/>
          <w:i w:val="0"/>
        </w:rPr>
        <w:t>HBEC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PXD029135完整表为3,072蛋白组×43样本／10个体，每人ICS前／后×polyIC四格，T2-high／low各格5／5，另3个imiquimod样本；作者及community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DRF全部对应（S39）。因此纠正历史“T2与ICS部分混杂”判断。临床ICS前后仍不是受控体外GC／vehicle，时间及临床背景未排除；组织为上皮、非ASM、非上清。样本设计纠正及来源可及性不改变PER2／METTL7A／ANGPTL2／FSTL3／FBN2候选结论。</w:t>
      </w:r>
    </w:p>
    <w:p>
      <w:pPr>
        <w:pStyle w:val="Heading1"/>
      </w:pP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讨论</w:t>
      </w:r>
    </w:p>
    <w:p>
      <w:pPr>
        <w:pStyle w:val="Heading2"/>
      </w:pPr>
      <w:r>
        <w:rPr>
          <w:b w:val="0"/>
          <w:i w:val="0"/>
        </w:rPr>
        <w:t>4.1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集合层面可重复性与新增价值</w:t>
      </w:r>
    </w:p>
    <w:p>
      <w:r>
        <w:rPr>
          <w:b w:val="0"/>
          <w:i w:val="0"/>
        </w:rPr>
        <w:t>已保存分析从少数候选扩展到原完整54基因，新增六成人来源的53个可测平均响应全部保持方向、45个满足较严格的参数／模型／逐供体敏感性标准。这加强所测晚期响应集合的可重复性，并明确公开未满足标准与缺测。药物剂量、培养来源及背景仍不同，因此并非所有四背景交互的外部复制。</w:t>
      </w:r>
    </w:p>
    <w:p>
      <w:r>
        <w:rPr>
          <w:b w:val="0"/>
          <w:i w:val="0"/>
        </w:rPr>
        <w:t>PER2／PER3晚期抑制得到新的成人供体支持。BMAL1、NPAS2上调与NR1D2、DBP、TEF下调拓展候选范围，LINC00607新增可测响应解决一个来源的注释缺口。已有激素／时钟文献[3,4]及本轮检查强调：时钟相关转录响应与周期性节律是不同目标；不能从一次24h终点估计相位、振幅或同步化。以上线索可用于公开数据后续检验，而非完整时钟机制的确认。</w:t>
      </w:r>
    </w:p>
    <w:p>
      <w:pPr>
        <w:pStyle w:val="Heading2"/>
      </w:pPr>
      <w:r>
        <w:rPr>
          <w:b w:val="0"/>
          <w:i w:val="0"/>
        </w:rPr>
        <w:t>4.2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推断与不一致证据</w:t>
      </w:r>
    </w:p>
    <w:p>
      <w:r>
        <w:rPr>
          <w:b w:val="0"/>
          <w:i w:val="0"/>
        </w:rPr>
        <w:t>四供体筛选、两模型共享样本、方案在初始阴性后制定，存在选择影响；v0.12阶段又在重点候选已知后扩展，因此全研究多阶段未统一控制所有潜在假设。各54／162家族控制只对应本阶段定义。CI为点态，参数检验依赖供体效应分布，小样本精确全家族未确认。供体标签无exact重叠不保证别名全部排除，不累加独立供体人数。</w:t>
      </w:r>
    </w:p>
    <w:p>
      <w:r>
        <w:rPr>
          <w:b w:val="0"/>
          <w:i w:val="0"/>
        </w:rPr>
        <w:t>原12候选排名保持，新增时钟基因作为完整集合检查后的解释，尚无预定基因集统计。TPM对数差、count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log2FC、RPKM/GCRMA及LFQ尺度不能直接合并幅度。54基因不是疾病分类器；阴性病组差不证明等效，53/53方向也不是未来人群准确率。GABBR2等未满足标准及旧TEF微阵列不重复、LINC00607旧airway阴性共同限定泛化。</w:t>
      </w:r>
    </w:p>
    <w:p>
      <w:r>
        <w:rPr>
          <w:b w:val="0"/>
          <w:i w:val="0"/>
        </w:rPr>
        <w:t>时间相关证据被进一步收束：成人早期诱导未通过，成人DEX脉冲同时间药物对比未支持，A549与HASM1暴露条件差不能拼接成人轨迹。U2OS预印本遗传变体缺空KO，候选PER2未确认；A549药理效应也不能替代ASM遗传因果。完整人蛋白比选中表扩大原数组范围，METTL7A72h在发表标签子集中仍通过；24h对范围/缺测规则敏感。原七标签/发表六人、MaxQuant版本及两个缺测填入值冲突均未获作者确认，不能把新数组重算当新队列或ASM功能。候选功能未得到新增直接证据。</w:t>
      </w:r>
    </w:p>
    <w:p>
      <w:r>
        <w:rPr>
          <w:b w:val="0"/>
          <w:i w:val="0"/>
        </w:rPr>
        <w:t>上清检查进一步限定RNA向分泌层外推：ANGPTL2／FSTL3识别不解决有效配对不足；FBN2原范围通过但发表子集未通过，不能选有利范围作为确认。24h上清来源处理差异与72h额外标签分别影响可复现性和研究人群范围。上清相对丰度可受释放、死亡、细胞数、摄取和降解影响，原MS固定750ng上样不能给每细胞通量。PXD055968没有药物因子，HBEC为临床上皮前后，其他公开GC蛋白资料非ASM；它们回答不同问题。</w:t>
      </w:r>
    </w:p>
    <w:p>
      <w:pPr>
        <w:pStyle w:val="Heading2"/>
      </w:pPr>
      <w:r>
        <w:rPr>
          <w:b w:val="0"/>
          <w:i w:val="0"/>
        </w:rPr>
        <w:t>4.3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后续纯计算方向</w:t>
      </w:r>
    </w:p>
    <w:p>
      <w:r>
        <w:rPr>
          <w:b w:val="0"/>
          <w:i w:val="0"/>
        </w:rPr>
        <w:t>在不能开展新湿实验的约束下，下一步优先寻找同供体成人ASM逐时vehicle与GC、完整NR3C1×GC遗传因子及未按差异筛选的候选蛋白数组。先核对年龄、映射、重复、处理完整性与下载可用性，再另冻结估计目标；缺失数据公开为证据缺口。蛋白搜索输出应保留成员CRC和原样本映射，不能把部分压缩包采集当完整下载验收。</w:t>
      </w:r>
    </w:p>
    <w:p>
      <w:r>
        <w:rPr>
          <w:b w:val="0"/>
          <w:i w:val="0"/>
        </w:rPr>
        <w:t>具体材料动作是发送既有PXD055968请求或提供原回信／附件，按版本、未预筛矩阵、原缺测、肽映射及供体重复层级验收后，再另冻结完整候选身份检查；目前没有可据以启动的最终数组。24h上清处理原因需原Perseus／版本材料。进一步的跨组织、公共人群或通路分析需要针对各自估计目标的新方案。可追踪METTL7A、LINC00607及新增时钟相关响应，但不以数据库连接或峰窗口重叠直接构建因果机制。真实作者及最终科学／图稿审阅仍需真实人员完成。</w:t>
      </w:r>
    </w:p>
    <w:p>
      <w:pPr>
        <w:pStyle w:val="Heading1"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结论</w:t>
      </w:r>
    </w:p>
    <w:p>
      <w:r>
        <w:rPr>
          <w:b w:val="0"/>
          <w:i w:val="0"/>
        </w:rPr>
        <w:t>成人ASM公开数据中，原54基因集合的53个可测平均响应保持方向，45/54经供体配对、计数模型及方向敏感性检查获得支持。PER2／PER3晚期抑制、多个时钟相关候选及LINC00607新增可测响应提供具体追踪线索。新增早期、时间、遗传与蛋白检查同时收紧机制表述。ANGPTL2／FSTL3有上清蛋白识别而药物响应未确认，FBN2为范围敏感线索；24h来源差异及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EV最终导出缺件仍待材料。BioExplainR保存完整分母、独立单位及解释边界；结果支持所测晚期转录响应，不确认成人节律／GR／功能因果。</w:t>
      </w:r>
    </w:p>
    <w:p>
      <w:pPr>
        <w:pStyle w:val="Heading1"/>
      </w:pPr>
      <w:r>
        <w:rPr>
          <w:b w:val="0"/>
          <w:i w:val="0"/>
        </w:rPr>
        <w:t>数据与代码可用性</w:t>
      </w:r>
    </w:p>
    <w:p>
      <w:r>
        <w:rPr>
          <w:b w:val="0"/>
          <w:i w:val="0"/>
        </w:rPr>
        <w:t>原研究与v0.11原路径保留；新增集合分析、HGNC原记录、原TPM／count依赖、模型、供体表、原错误、范围采集及双语项目位于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</w:t>
      </w:r>
      <w:r>
        <w:rPr>
          <w:b w:val="0"/>
          <w:i w:val="0"/>
        </w:rPr>
        <w:t>。此前验证目录</w:t>
      </w:r>
      <w:r>
        <w:rPr>
          <w:rFonts w:ascii="DejaVu Sans Mono" w:hAnsi="DejaVu Sans Mono"/>
          <w:b w:val="0"/>
          <w:i w:val="0"/>
          <w:sz w:val="18"/>
        </w:rPr>
        <w:t>discovery_validation_v2/</w:t>
      </w:r>
      <w:r>
        <w:rPr>
          <w:b w:val="0"/>
          <w:i w:val="0"/>
        </w:rPr>
        <w:t>及报告原样保留。v0.13新增整合来源为</w:t>
      </w:r>
      <w:r>
        <w:rPr>
          <w:rFonts w:ascii="DejaVu Sans Mono" w:hAnsi="DejaVu Sans Mono"/>
          <w:b w:val="0"/>
          <w:i w:val="0"/>
          <w:sz w:val="18"/>
        </w:rPr>
        <w:t>discovery_secretome_v1/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discovery_secretome_provenance_v1/complete/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discovery_asm_ev_export_v1/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discovery_asm_ev_materials_v1/</w:t>
      </w:r>
      <w:r>
        <w:rPr>
          <w:b w:val="0"/>
          <w:i w:val="0"/>
        </w:rPr>
        <w:t>及</w:t>
      </w:r>
      <w:r>
        <w:rPr>
          <w:rFonts w:ascii="DejaVu Sans Mono" w:hAnsi="DejaVu Sans Mono"/>
          <w:b w:val="0"/>
          <w:i w:val="0"/>
          <w:sz w:val="18"/>
        </w:rPr>
        <w:t>discovery_public_proteome_v1/</w:t>
      </w:r>
      <w:r>
        <w:rPr>
          <w:b w:val="0"/>
          <w:i w:val="0"/>
        </w:rPr>
        <w:t>。新稿</w:t>
      </w:r>
      <w:r>
        <w:rPr>
          <w:rFonts w:ascii="DejaVu Sans Mono" w:hAnsi="DejaVu Sans Mono"/>
          <w:b w:val="0"/>
          <w:i w:val="0"/>
          <w:sz w:val="18"/>
        </w:rPr>
        <w:t>docs/paper_cn_v7/</w:t>
      </w:r>
      <w:r>
        <w:rPr>
          <w:b w:val="0"/>
          <w:i w:val="0"/>
        </w:rPr>
        <w:t>包含Word／PDF／自包含HTML、表图与独立清单；保存结果核验见README。本稿没有新增候选效应／校正／模型拟合或新的在线模型调用。</w:t>
      </w:r>
    </w:p>
    <w:p>
      <w:r>
        <w:rPr>
          <w:b w:val="0"/>
          <w:i w:val="0"/>
        </w:rPr>
        <w:t>BioExplainR0.4.0.9000为MIT软件。正式公开仓库／release／DOI尚待实际发布；本稿为中文工作稿。</w:t>
      </w:r>
      <w:r>
        <w:rPr>
          <w:b/>
          <w:i w:val="0"/>
        </w:rPr>
        <w:t>作者贡献、基金、利益冲突、适用伦理与数据使用说明：</w:t>
      </w:r>
      <w:r>
        <w:rPr>
          <w:b w:val="0"/>
          <w:i w:val="0"/>
        </w:rPr>
        <w:t>［按真实材料填写］。AI助手参与代码与文字整理，统计来自实际公开数据运行；最终科学与作者确认［待填写］。</w:t>
      </w:r>
    </w:p>
    <w:p>
      <w:pPr>
        <w:pStyle w:val="Heading1"/>
      </w:pPr>
      <w:r>
        <w:rPr>
          <w:b w:val="0"/>
          <w:i w:val="0"/>
        </w:rPr>
        <w:t>参考文献</w:t>
      </w:r>
    </w:p>
    <w:p>
      <w:r>
        <w:t xml:space="preserve">1. </w:t>
      </w:r>
      <w:r>
        <w:rPr>
          <w:b w:val="0"/>
          <w:i w:val="0"/>
        </w:rPr>
        <w:t>Kan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Koziol-White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Shumyatcher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muscle-specific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signatures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exposure.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2019;61:110–120.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doi:10.1165/rcmb.2018-0385OC.</w:t>
      </w:r>
    </w:p>
    <w:p>
      <w:r>
        <w:t xml:space="preserve">2. </w:t>
      </w:r>
      <w:r>
        <w:rPr>
          <w:b w:val="0"/>
          <w:i w:val="0"/>
        </w:rPr>
        <w:t>Kan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Jiang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2022;23:193.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doi:10.1186/s12931-022-02119-1.</w:t>
      </w:r>
    </w:p>
    <w:p>
      <w:r>
        <w:t xml:space="preserve">3. </w:t>
      </w:r>
      <w:r>
        <w:rPr>
          <w:b w:val="0"/>
          <w:i w:val="0"/>
        </w:rPr>
        <w:t>Bartman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Matveyenko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Pabelick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Prakash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Cellular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clocks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hyperoxia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[Ca2+]i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regulation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developing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Physiol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Physiol.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2021;320:L451–L466.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doi:10.1152/ajplung.00406.2020.</w:t>
      </w:r>
    </w:p>
    <w:p>
      <w:r>
        <w:t xml:space="preserve">4. </w:t>
      </w:r>
      <w:r>
        <w:rPr>
          <w:b w:val="0"/>
          <w:i w:val="0"/>
        </w:rPr>
        <w:t>Piechota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Zieba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Borczyk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cross-tissue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decodes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receptor-dependent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links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metabolic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phenotypes.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2025;26:462.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doi:10.1186/s12864-025-11676-w.</w:t>
      </w:r>
    </w:p>
    <w:p>
      <w:r>
        <w:t xml:space="preserve">5. </w:t>
      </w:r>
      <w:r>
        <w:rPr>
          <w:b w:val="0"/>
          <w:i w:val="0"/>
        </w:rPr>
        <w:t>Gazorpak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Hugentobler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Harnessing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PROTAC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technology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combat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hormone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receptor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Commun.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2023;14:8177.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doi:10.1038/s41467-023-44031-2.</w:t>
      </w:r>
    </w:p>
    <w:p>
      <w:r>
        <w:t xml:space="preserve">6. </w:t>
      </w:r>
      <w:r>
        <w:rPr>
          <w:b w:val="0"/>
          <w:i w:val="0"/>
        </w:rPr>
        <w:t>Masuno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profiling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Klf15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target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regulates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hyperresponsiveness.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2011;45:642–649.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doi:10.1165/rcmb.2010-0369OC.</w:t>
      </w:r>
    </w:p>
    <w:p>
      <w:r>
        <w:t xml:space="preserve">7. </w:t>
      </w:r>
      <w:r>
        <w:rPr>
          <w:b w:val="0"/>
          <w:i w:val="0"/>
        </w:rPr>
        <w:t>Love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estimation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dispersion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2014;15:550.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doi:10.1186/s13059-014-0550-8.</w:t>
      </w:r>
    </w:p>
    <w:p>
      <w:r>
        <w:t xml:space="preserve">8. </w:t>
      </w:r>
      <w:r>
        <w:rPr>
          <w:b w:val="0"/>
          <w:i w:val="0"/>
        </w:rPr>
        <w:t>Robinson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McCarthy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DJ,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Smyth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GK.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package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digital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2010;26:139–140.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doi:10.1093/bioinformatics/btp616.</w:t>
      </w:r>
    </w:p>
    <w:p>
      <w:r>
        <w:t xml:space="preserve">9. </w:t>
      </w:r>
      <w:r>
        <w:rPr>
          <w:b w:val="0"/>
          <w:i w:val="0"/>
        </w:rPr>
        <w:t>Law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Smyth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GK.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precision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weights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unlock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linear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tools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2014;15:R29.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doi:10.1186/gb-2014-15-2-r29.</w:t>
      </w:r>
    </w:p>
    <w:p>
      <w:r>
        <w:t xml:space="preserve">10. </w:t>
      </w:r>
      <w:r>
        <w:rPr>
          <w:b w:val="0"/>
          <w:i w:val="0"/>
        </w:rPr>
        <w:t>Edgar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Domrachev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Omnibus: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NCBI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hybridization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array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repository.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2002;30:207–210.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doi:10.1093/nar/30.1.207.</w:t>
      </w:r>
    </w:p>
    <w:p>
      <w:r>
        <w:t xml:space="preserve">11. </w:t>
      </w:r>
      <w:r>
        <w:rPr>
          <w:b w:val="0"/>
          <w:i w:val="0"/>
        </w:rPr>
        <w:t>Benjamini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Hochberg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practical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powerful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1995;57:289–300.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doi:10.1111/j.2517-6161.1995.tb02031.x.</w:t>
      </w:r>
    </w:p>
    <w:p>
      <w:r>
        <w:t xml:space="preserve">12. </w:t>
      </w:r>
      <w:r>
        <w:rPr>
          <w:b w:val="0"/>
          <w:i w:val="0"/>
        </w:rPr>
        <w:t>Nuñez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Glucocorticoids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rapidly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Gαs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initiate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non-genomic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signaling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one-third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canonical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FASEB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doi:10.1096/fj.201902521R.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GSE130715；PMC7027561.</w:t>
      </w:r>
    </w:p>
    <w:p>
      <w:r>
        <w:t xml:space="preserve">13. </w:t>
      </w:r>
      <w:r>
        <w:rPr>
          <w:b w:val="0"/>
          <w:i w:val="0"/>
        </w:rPr>
        <w:t>Koziol-White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Budesonide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enhances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agonist-induced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bronchodilation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increasing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Physiol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Physiol.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doi:10.1152/ajplung.00393.2019.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PMC7052668.</w:t>
      </w:r>
    </w:p>
    <w:p>
      <w:r>
        <w:t xml:space="preserve">14. </w:t>
      </w:r>
      <w:r>
        <w:rPr>
          <w:b w:val="0"/>
          <w:i w:val="0"/>
        </w:rPr>
        <w:t>Edmondson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Post-transcriptional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receptor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signalling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synchronises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circadian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rhythms.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bioRxiv.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2026;v2，未同行评审.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doi:10.64898/2026.08.12.743743.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GSE342887／342771；全文未取得，引用限公开数据与元数据。</w:t>
      </w:r>
    </w:p>
    <w:p>
      <w:r>
        <w:t xml:space="preserve">15. </w:t>
      </w:r>
      <w:r>
        <w:rPr>
          <w:b w:val="0"/>
          <w:i w:val="0"/>
        </w:rPr>
        <w:t>Misior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Glucocorticoid-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protein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kinase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A-dependent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regulation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PMC2701960；GSE13168.</w:t>
      </w:r>
    </w:p>
    <w:p>
      <w:r>
        <w:t xml:space="preserve">16. </w:t>
      </w:r>
      <w:r>
        <w:rPr>
          <w:b w:val="0"/>
          <w:i w:val="0"/>
        </w:rPr>
        <w:t>Stepanov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Profound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Dexamethasone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Immunological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Synthesis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Secretion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Capacity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Testicular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Peritubular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2022;11:3164.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doi:10.3390/cells11193164.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PXD033504／033514／033534；PMC9562650.</w:t>
      </w:r>
    </w:p>
    <w:p>
      <w:r>
        <w:t xml:space="preserve">17. </w:t>
      </w:r>
      <w:r>
        <w:rPr>
          <w:b w:val="0"/>
          <w:i w:val="0"/>
        </w:rPr>
        <w:t>Celle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Bronchial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extracellular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vesicles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interfere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bronchial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epithelium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metabolism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asthma.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iScience.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2025;28:112546.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doi:10.1016/j.isci.2025.112546.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PMC12141081；PXD055968；引用限已核对患者EV来源、方法和存档结构。</w:t>
      </w:r>
    </w:p>
    <w:p>
      <w:r>
        <w:t xml:space="preserve">18. </w:t>
      </w:r>
      <w:r>
        <w:rPr>
          <w:b w:val="0"/>
          <w:i w:val="0"/>
        </w:rPr>
        <w:t>Zhang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Glucocorticoids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regulate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pentraxin-3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doi:10.1371/journal.pone.0220772.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PMC6706008；已有ASM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PTX3蛋白／药理文献。</w:t>
      </w:r>
    </w:p>
    <w:p>
      <w:r>
        <w:t xml:space="preserve">19. </w:t>
      </w:r>
      <w:r>
        <w:rPr>
          <w:b w:val="0"/>
          <w:i w:val="0"/>
        </w:rPr>
        <w:t>Rossios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Impaired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innate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immune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profiling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chronic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cough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patients.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Bioscience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doi:10.1042/BSR20171090.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PMC5686396；已有成人ASM面板，非完整候选蛋白组。</w:t>
      </w:r>
    </w:p>
    <w:p>
      <w:pPr>
        <w:pStyle w:val="Heading1"/>
      </w:pPr>
      <w:r>
        <w:rPr>
          <w:b w:val="0"/>
          <w:i w:val="0"/>
        </w:rPr>
        <w:t>图表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数据、单位与可估计范围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814"/>
        <w:gridCol w:w="2551"/>
        <w:gridCol w:w="5272"/>
      </w:tblGrid>
      <w:tr>
        <w:trPr>
          <w:cantSplit/>
          <w:tblHeader/>
        </w:trPr>
        <w:tc>
          <w:tcPr>
            <w:tcW w:type="dxa" w:w="181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type="dxa" w:w="255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单位／规模</w:t>
            </w:r>
          </w:p>
        </w:tc>
        <w:tc>
          <w:tcPr>
            <w:tcW w:type="dxa" w:w="5272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处理与估计目标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GSE146017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4供体／31文库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18hBUD；NT/CEBPD×TNF；全基因交互/响应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GSE94335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13配对供体／26文库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24hBUD；3已知共享培养系排除；旧12候选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GSE130715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6成人19–54岁／24文库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24hBUD×GNAS；完整54基因响应检查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GSE229084／34313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A549四batch；HASM1单培养系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药理交互／直接暴露条件差，非成人轨迹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GSE13168／135730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3配对供体；匿名3培养/条件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8hFP/PKI；4hDEX/IL17；年龄界限保留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Bartman2021成人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33–77岁来源池；n4–6/条件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DEX30min脉冲后12/16/20/24h；原Tukey表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GSE342887／342771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U2OS单细胞系；18/17文库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GR-KO rescue WT/AF2/IDR；缺empty-KO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PXD033514／033534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HTPC六供体；3技术重复先平均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DEX24/72h；跨组织人源蛋白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PXD033504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上清24h六／72h八日期标签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同HTPC来源DEX；原八标签与发表六标签分别检查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PXD055968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六患者／18重复run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原代BSM EV，无GC；最终联合定量仍缺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PXD029135／063431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 HBEC个体／A549培养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临床ICS前后／癌细胞系DEX，均非ASM</w:t>
            </w:r>
          </w:p>
        </w:tc>
      </w:tr>
    </w:tbl>
    <w:p>
      <w:r>
        <w:rPr>
          <w:b/>
          <w:i w:val="0"/>
          <w:sz w:val="17"/>
        </w:rPr>
        <w:t>表注：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各行供体／培养／文库单位不相加；新旧供体别名未完全核实。A549总窗口同为18h；早期与晚期不同研究不拼接时间曲线。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完整54基因的检查层级与分母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3231"/>
        <w:gridCol w:w="1871"/>
        <w:gridCol w:w="4535"/>
      </w:tblGrid>
      <w:tr>
        <w:trPr>
          <w:cantSplit/>
          <w:tblHeader/>
        </w:trPr>
        <w:tc>
          <w:tcPr>
            <w:tcW w:type="dxa" w:w="323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检查层级</w:t>
            </w:r>
          </w:p>
        </w:tc>
        <w:tc>
          <w:tcPr>
            <w:tcW w:type="dxa" w:w="187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通过／54冻结</w:t>
            </w:r>
          </w:p>
        </w:tc>
        <w:tc>
          <w:tcPr>
            <w:tcW w:type="dxa" w:w="453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可测分母及解释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可测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53/54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53/54；LINC03140缺测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平均方向一致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53/54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53/53可测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全部六供体预期方向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50/54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50/53可测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配对t／Holm54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45/54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45/53可测；点态CI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计数模型／Holm54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51/54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51/53可估计；同六供体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TPM／计数留一方向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52/52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各52/53；非独立重复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综合支持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45/54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45/53；两模型/六供体/全部敏感性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精确符号翻转／Holm54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0/54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最小双侧P=.03125；未确认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主比较均对照siRNA背景BUD−vehicle。参数／计数各54项Holm；综合标准同时要求两模型、六供体及全部方向敏感性。精确校正未确认与参数证据同时公开。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时钟相关候选与LINC00607的新增成人响应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134"/>
        <w:gridCol w:w="1417"/>
        <w:gridCol w:w="2268"/>
        <w:gridCol w:w="1417"/>
        <w:gridCol w:w="1701"/>
        <w:gridCol w:w="1701"/>
      </w:tblGrid>
      <w:tr>
        <w:trPr>
          <w:cantSplit/>
          <w:tblHeader/>
        </w:trPr>
        <w:tc>
          <w:tcPr>
            <w:tcW w:type="dxa" w:w="113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基因</w:t>
            </w:r>
          </w:p>
        </w:tc>
        <w:tc>
          <w:tcPr>
            <w:tcW w:type="dxa" w:w="141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TPM配对差</w:t>
            </w:r>
          </w:p>
        </w:tc>
        <w:tc>
          <w:tcPr>
            <w:tcW w:type="dxa" w:w="226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点态95%CI</w:t>
            </w:r>
          </w:p>
        </w:tc>
        <w:tc>
          <w:tcPr>
            <w:tcW w:type="dxa" w:w="141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Holm54 P</w:t>
            </w:r>
          </w:p>
        </w:tc>
        <w:tc>
          <w:tcPr>
            <w:tcW w:type="dxa" w:w="170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计数效应</w:t>
            </w:r>
          </w:p>
        </w:tc>
        <w:tc>
          <w:tcPr>
            <w:tcW w:type="dxa" w:w="170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计数Holm54 P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PER3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-2.311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-2.714至-1.908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0.000934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-3.020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2.16e-08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LINC00607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0.526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0.302至0.750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0.0233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0.776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8.1e-05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TEF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-1.051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-1.174至-0.928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0.000165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-1.051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8.19e-11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PER2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-0.934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-1.044至-0.824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0.000165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-1.405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3.09e-08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BMAL1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1.138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0.831至1.446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0.00474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1.280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5.52e-10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NPAS2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0.727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0.614至0.841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0.000596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0.892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6.51e-06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NR1D2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-1.345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-1.581至-1.109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0.000937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-1.315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2.83e-12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DBP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-1.060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-1.382至-0.739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0.00679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-1.349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9.04e-05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按原集合排名展示，非新显著性排序；BMAL1文献别名ARNTL。CI点态，TPM差与计数效应尺度不同。此列表为事后候选解释，不作通路或节律确认。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完整上清候选与发表范围敏感性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304"/>
        <w:gridCol w:w="1247"/>
        <w:gridCol w:w="624"/>
        <w:gridCol w:w="1134"/>
        <w:gridCol w:w="2494"/>
        <w:gridCol w:w="1247"/>
        <w:gridCol w:w="1587"/>
      </w:tblGrid>
      <w:tr>
        <w:trPr>
          <w:cantSplit/>
          <w:tblHeader/>
        </w:trPr>
        <w:tc>
          <w:tcPr>
            <w:tcW w:type="dxa" w:w="130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基因/时点</w:t>
            </w:r>
          </w:p>
        </w:tc>
        <w:tc>
          <w:tcPr>
            <w:tcW w:type="dxa" w:w="124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范围</w:t>
            </w:r>
          </w:p>
        </w:tc>
        <w:tc>
          <w:tcPr>
            <w:tcW w:type="dxa" w:w="62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配对n</w:t>
            </w:r>
          </w:p>
        </w:tc>
        <w:tc>
          <w:tcPr>
            <w:tcW w:type="dxa" w:w="113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效应</w:t>
            </w:r>
          </w:p>
        </w:tc>
        <w:tc>
          <w:tcPr>
            <w:tcW w:type="dxa" w:w="249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点态95%CI</w:t>
            </w:r>
          </w:p>
        </w:tc>
        <w:tc>
          <w:tcPr>
            <w:tcW w:type="dxa" w:w="124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Holm112 P</w:t>
            </w:r>
          </w:p>
        </w:tc>
        <w:tc>
          <w:tcPr>
            <w:tcW w:type="dxa" w:w="158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ANGPTL2/24h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主分析</w:t>
            </w:r>
          </w:p>
        </w:tc>
        <w:tc>
          <w:tcPr>
            <w:tcW w:type="dxa" w:w="62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不可估计</w:t>
            </w:r>
          </w:p>
        </w:tc>
        <w:tc>
          <w:tcPr>
            <w:tcW w:type="dxa" w:w="249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配对不足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ANGPTL2/72h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主分析</w:t>
            </w:r>
          </w:p>
        </w:tc>
        <w:tc>
          <w:tcPr>
            <w:tcW w:type="dxa" w:w="62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不可估计</w:t>
            </w:r>
          </w:p>
        </w:tc>
        <w:tc>
          <w:tcPr>
            <w:tcW w:type="dxa" w:w="249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未检出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FSTL3/24h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主分析</w:t>
            </w:r>
          </w:p>
        </w:tc>
        <w:tc>
          <w:tcPr>
            <w:tcW w:type="dxa" w:w="62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不可估计</w:t>
            </w:r>
          </w:p>
        </w:tc>
        <w:tc>
          <w:tcPr>
            <w:tcW w:type="dxa" w:w="249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配对不足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FSTL3/72h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主分析</w:t>
            </w:r>
          </w:p>
        </w:tc>
        <w:tc>
          <w:tcPr>
            <w:tcW w:type="dxa" w:w="62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不可估计</w:t>
            </w:r>
          </w:p>
        </w:tc>
        <w:tc>
          <w:tcPr>
            <w:tcW w:type="dxa" w:w="249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配对不足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PTX3/24h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主分析</w:t>
            </w:r>
          </w:p>
        </w:tc>
        <w:tc>
          <w:tcPr>
            <w:tcW w:type="dxa" w:w="62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+0.620</w:t>
            </w:r>
          </w:p>
        </w:tc>
        <w:tc>
          <w:tcPr>
            <w:tcW w:type="dxa" w:w="249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+0.281至+0.959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0.592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可估计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PTX3/72h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主分析</w:t>
            </w:r>
          </w:p>
        </w:tc>
        <w:tc>
          <w:tcPr>
            <w:tcW w:type="dxa" w:w="62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+0.147</w:t>
            </w:r>
          </w:p>
        </w:tc>
        <w:tc>
          <w:tcPr>
            <w:tcW w:type="dxa" w:w="249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-0.289至+0.584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可估计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FBN2/24h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主分析</w:t>
            </w:r>
          </w:p>
        </w:tc>
        <w:tc>
          <w:tcPr>
            <w:tcW w:type="dxa" w:w="62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+0.193</w:t>
            </w:r>
          </w:p>
        </w:tc>
        <w:tc>
          <w:tcPr>
            <w:tcW w:type="dxa" w:w="249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-0.204至+0.590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可估计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FBN2/72h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主分析</w:t>
            </w:r>
          </w:p>
        </w:tc>
        <w:tc>
          <w:tcPr>
            <w:tcW w:type="dxa" w:w="62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+1.535</w:t>
            </w:r>
          </w:p>
        </w:tc>
        <w:tc>
          <w:tcPr>
            <w:tcW w:type="dxa" w:w="249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+1.112至+1.958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0.0127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可估计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FBN2/72h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严格3/3</w:t>
            </w:r>
          </w:p>
        </w:tc>
        <w:tc>
          <w:tcPr>
            <w:tcW w:type="dxa" w:w="62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+1.419</w:t>
            </w:r>
          </w:p>
        </w:tc>
        <w:tc>
          <w:tcPr>
            <w:tcW w:type="dxa" w:w="249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+1.030至+1.807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0.0259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可估计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FBN2/72h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发表六标签</w:t>
            </w:r>
          </w:p>
        </w:tc>
        <w:tc>
          <w:tcPr>
            <w:tcW w:type="dxa" w:w="62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+1.466</w:t>
            </w:r>
          </w:p>
        </w:tc>
        <w:tc>
          <w:tcPr>
            <w:tcW w:type="dxa" w:w="249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+0.869至+2.063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0.27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可估计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效应为DEX−control平均log2LFQ差，CI点态。上清固定112家族独立于胞内112；不可估计的Holm=1为占位，非无效应。FBN2各方案另112家族，同来源不增加独立n。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原固定候选的四背景响应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原12候选排名和四背景DESeq2效应，复用已封存图稿。每模型109,636项统一BH，进一步方向／敏感性筛选；响应保留不等于四背景等效。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完整54基因的六成人逐供体响应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7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按原集合顺序分两列展示主BUD响应，圆点为各供体log2(TPM+1)配对差，黑方块为均值。绿色标签为预定综合标准通过，灰色为未通过，缺测原位置保留。53可测平均方向一致、50全部供体同向、45综合支持；不作为节律或未来预测性能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候选证据层级与未确认范围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553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5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来源及估计目标分别显示：成人晚期响应、早期ASM、A549药理、成人药物×时间、GR遗传、人源胞内／上清蛋白及公开来源材料缺口。支持／未确认／未可估计按实际结果区分；非定量汇总、非合并效应量、非机制因果图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上清重点候选的逐日期响应与缺测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241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原封存重点候选图：圆点为合格日期配对，方块／点态CI仅在至少三配对时展示。ANGPTL2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24h只有两配对；FSTL3没有合格配对。FBN2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72h原范围效应不等于发表六标签确认，需与表4子集结果一起解释。上下游组织、药物、时点不同，不连成分泌动力学曲线。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  <w:numPr>
        <w:numId w:val="0"/>
      </w:numPr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  <w:numPr>
        <w:numId w:val="0"/>
      </w:numPr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  <w:numPr>
        <w:numId w:val="0"/>
      </w:numPr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