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共同任务与候选机制后续分析</w:t>
      </w:r>
    </w:p>
    <w:p>
      <w:pPr>
        <w:pStyle w:val="Subtitle"/>
      </w:pPr>
      <w:r>
        <w:rPr>
          <w:b w:val="0"/>
          <w:i w:val="0"/>
        </w:rPr>
        <w:t>中文论文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v0.10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配套研究增补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v1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·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正式执行与独立实现复核</w:t>
      </w:r>
    </w:p>
    <w:p>
      <w:pPr/>
      <w:r>
        <w:rPr>
          <w:b w:val="0"/>
          <w:i w:val="0"/>
        </w:rPr>
        <w:t>2026-10-09</w:t>
      </w:r>
    </w:p>
    <w:p>
      <w:pPr>
        <w:pStyle w:val="Heading1"/>
      </w:pPr>
      <w:r>
        <w:rPr>
          <w:b w:val="0"/>
          <w:i w:val="0"/>
        </w:rPr>
        <w:t>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正式共同任务比较</w:t>
      </w:r>
    </w:p>
    <w:p>
      <w:r>
        <w:rPr>
          <w:b w:val="0"/>
          <w:i w:val="0"/>
        </w:rPr>
        <w:t>本增补对应预先保存的共同任务方案及机制方案。已知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airway/pasilla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开发数据不能视为盲法独立生物学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gold。两个数据集各取按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feature_id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排序均匀选择的50/200行，使用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α=.01/.05/.10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与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|log2FC|&gt;0/1，24任务×3重复×5方法，共360方法运行、1,800目标评分；每方法分母360整数、72运行。两个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客户端的72对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system/user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提示逐对相同。</w:t>
      </w:r>
    </w:p>
    <w:p>
      <w:r>
        <w:rPr>
          <w:b w:val="0"/>
          <w:i w:val="0"/>
        </w:rPr>
        <w:t>五个输出为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n_features、n_significant、n_up、n_down、n_na_padj；严格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padj&lt;α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且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abs(log2FC)&gt;τ，NA不显著。BioExplainR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离线计算、base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用户脚本、ellmer直接读表、ellmer读取完整BioExplainR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facts、BioExplainR客户端读取同facts分别评价。Qwen2.5-1.5B-Instruct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Q4_K_M（固定SHA-256）由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llama.cpp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b11429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CPU服务执行；temperature=0、seed=42、输出上限256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tokens、180秒请求预算、无重试、无答案修订，关闭prompt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cache。顺序及2,000次24任务配对bootstrap提前冻结，预热用非研究两行fixture。计时包括输入读取/对象/提示准备、调用和解析，不含库载入、下载和启动。</w:t>
      </w:r>
    </w:p>
    <w:p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给出全目标分母与计时；失败、超时、截断/无效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JSON/缺项均留在全分母。共有</w:t>
      </w:r>
      <w:r>
        <w:rPr>
          <w:b w:val="0"/>
          <w:i w:val="0"/>
        </w:rPr>
        <w:t xml:space="preserve"> </w:t>
      </w:r>
      <w:r>
        <w:rPr>
          <w:b/>
          <w:i w:val="0"/>
        </w:rPr>
        <w:t>37</w:t>
      </w:r>
      <w:r>
        <w:rPr>
          <w:b/>
          <w:i w:val="0"/>
        </w:rPr>
        <w:t xml:space="preserve"> </w:t>
      </w:r>
      <w:r>
        <w:rPr>
          <w:b/>
          <w:i w:val="0"/>
        </w:rPr>
        <w:t>个失败请求</w:t>
      </w:r>
      <w:r>
        <w:rPr>
          <w:b w:val="0"/>
          <w:i w:val="0"/>
        </w:rPr>
        <w:t>。全任务正确率按每次运行的五目标均正确计。确定性步骤的极短耗时不宜解释为稳定速度优势；CPU负载/取消超时后的等待均可能影响本机计时。</w:t>
      </w:r>
    </w:p>
    <w:tbl>
      <w:tblPr>
        <w:tblW w:type="dxa" w:w="8164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2211"/>
        <w:gridCol w:w="1191"/>
        <w:gridCol w:w="1191"/>
        <w:gridCol w:w="1191"/>
        <w:gridCol w:w="1191"/>
        <w:gridCol w:w="1191"/>
      </w:tblGrid>
      <w:tr>
        <w:trPr>
          <w:cantSplit/>
          <w:tblHeader/>
        </w:trPr>
        <w:tc>
          <w:tcPr>
            <w:tcW w:type="dxa" w:w="221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方法</w:t>
            </w:r>
          </w:p>
        </w:tc>
        <w:tc>
          <w:tcPr>
            <w:tcW w:type="dxa" w:w="119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正确/360</w:t>
            </w:r>
          </w:p>
        </w:tc>
        <w:tc>
          <w:tcPr>
            <w:tcW w:type="dxa" w:w="119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覆盖/360</w:t>
            </w:r>
          </w:p>
        </w:tc>
        <w:tc>
          <w:tcPr>
            <w:tcW w:type="dxa" w:w="119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全正确/72</w:t>
            </w:r>
          </w:p>
        </w:tc>
        <w:tc>
          <w:tcPr>
            <w:tcW w:type="dxa" w:w="119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中位秒</w:t>
            </w:r>
          </w:p>
        </w:tc>
        <w:tc>
          <w:tcPr>
            <w:tcW w:type="dxa" w:w="119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P95秒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BioExplainR 离线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0.036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0.100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base R 脚本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0.002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0.007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ellmer 读表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175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180.829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182.755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ellmer 读 facts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18.583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63.812</w:t>
            </w:r>
          </w:p>
        </w:tc>
      </w:tr>
      <w:tr>
        <w:trPr>
          <w:cantSplit/>
        </w:trPr>
        <w:tc>
          <w:tcPr>
            <w:tcW w:type="dxa" w:w="221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BioExplainR 客户端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360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72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18.653</w:t>
            </w:r>
          </w:p>
        </w:tc>
        <w:tc>
          <w:tcPr>
            <w:tcW w:type="dxa" w:w="119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64.857</w:t>
            </w:r>
          </w:p>
        </w:tc>
      </w:tr>
    </w:tbl>
    <w:p>
      <w:r>
        <w:rPr>
          <w:b w:val="0"/>
          <w:i w:val="0"/>
          <w:sz w:val="17"/>
        </w:rPr>
        <w:t>表注：base</w:t>
      </w:r>
      <w:r>
        <w:rPr>
          <w:b w:val="0"/>
          <w:i w:val="0"/>
          <w:sz w:val="17"/>
        </w:rPr>
        <w:t xml:space="preserve"> </w:t>
      </w:r>
      <w:r>
        <w:rPr>
          <w:b w:val="0"/>
          <w:i w:val="0"/>
          <w:sz w:val="17"/>
        </w:rPr>
        <w:t>R为用户实现基线；ellmer为通用客户端。表中全正确分母72是24任务的3重复，非72独立生物样本。</w:t>
      </w:r>
    </w:p>
    <w:p>
      <w:r>
        <w:rPr>
          <w:b w:val="0"/>
          <w:i w:val="0"/>
        </w:rPr>
        <w:t>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给出读facts相对直接读表的准确率差及按24任务聚合的配对bootstrap；只反映这个开发计数/传递任务。</w:t>
      </w:r>
    </w:p>
    <w:tbl>
      <w:tblPr>
        <w:tblW w:type="dxa" w:w="8164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3288"/>
        <w:gridCol w:w="1871"/>
        <w:gridCol w:w="3005"/>
      </w:tblGrid>
      <w:tr>
        <w:trPr>
          <w:cantSplit/>
          <w:tblHeader/>
        </w:trPr>
        <w:tc>
          <w:tcPr>
            <w:tcW w:type="dxa" w:w="328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对照：减去 ellmer 读表</w:t>
            </w:r>
          </w:p>
        </w:tc>
        <w:tc>
          <w:tcPr>
            <w:tcW w:type="dxa" w:w="187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准确率差</w:t>
            </w:r>
          </w:p>
        </w:tc>
        <w:tc>
          <w:tcPr>
            <w:tcW w:type="dxa" w:w="3005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任务 bootstrap 95% CI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ellmer 读 facts</w:t>
            </w:r>
          </w:p>
        </w:tc>
        <w:tc>
          <w:tcPr>
            <w:tcW w:type="dxa" w:w="187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97.78个百分点</w:t>
            </w:r>
          </w:p>
        </w:tc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95.28–100.00个百分点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BioExplainR 客户端</w:t>
            </w:r>
          </w:p>
        </w:tc>
        <w:tc>
          <w:tcPr>
            <w:tcW w:type="dxa" w:w="187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97.78个百分点</w:t>
            </w:r>
          </w:p>
        </w:tc>
        <w:tc>
          <w:tcPr>
            <w:tcW w:type="dxa" w:w="3005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95.28–100.00个百分点</w:t>
            </w:r>
          </w:p>
        </w:tc>
      </w:tr>
    </w:tbl>
    <w:p>
      <w:r>
        <w:rPr>
          <w:b w:val="0"/>
          <w:i w:val="0"/>
        </w:rPr>
        <w:t>全任务正确率为预定第二主终点：ellmer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facts相对读表的全任务正确率差为100.00个百分点（任务bootstrap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100.00–100.00）；BioExplainR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客户端相对读表的全任务正确率差为100.00个百分点（任务bootstrap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95%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100.00–100.00）。按输入规模另报：ellmer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50行目标为8/180；ellmer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200行目标为0/180，完整分层在size_breakdown.csv。</w:t>
      </w:r>
    </w:p>
    <w:p>
      <w:r>
        <w:rPr>
          <w:b w:val="0"/>
          <w:i w:val="0"/>
        </w:rPr>
        <w:t>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facts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完成响应共输入23085、输出3591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tokens；BioExplainR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客户端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完成响应共输入23085、输出3591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tokens；ellmer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读表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完成响应共输入78709、输出1925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tokens。失败请求的tokens未知，不将其计为0；外部API费0，本地CPU/能耗/货币总成本未测量。两个facts组目标答案已提供，结果不证明通用推理、整篇报告质量或生物学发现能力。</w:t>
      </w:r>
    </w:p>
    <w:p>
      <w:r>
        <w:rPr>
          <w:b w:val="0"/>
          <w:i w:val="0"/>
        </w:rPr>
        <w:t>来源源码核查记录了iSEE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2.14.0、SCassist/GPTCelltype/GeneAgent固定commit及README。四个专属工具不原生返回该任务五整数，标not_applicable，不记错或性能0。结果不是六工具全面排名。早期Responses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API忽略seed、端口冲突和入口参数错误的中止轮保留在v1–v3，正式结果仅v4；任务/提示未按答案调优。</w:t>
      </w:r>
    </w:p>
    <w:p>
      <w:pPr>
        <w:pStyle w:val="Heading1"/>
      </w:pPr>
      <w:r>
        <w:rPr>
          <w:b w:val="0"/>
          <w:i w:val="0"/>
        </w:rPr>
        <w:t>2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GR干预重分析：候选不可估计</w:t>
      </w:r>
    </w:p>
    <w:p>
      <w:r>
        <w:rPr>
          <w:b w:val="0"/>
          <w:i w:val="0"/>
        </w:rPr>
        <w:t>GSE229084来自A549癌上皮细胞系，不能外推为ASM、患者或独立供体。保留Salmon/tximport发布非整数估计计数；按GEO处理和batch映射47文库（4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set，12处理/时序组），未处理组按设计排除；全基因filterByExpr默认min.count=10/min.total.count=15、TMM、voom、limma</w:t>
      </w:r>
      <w:r>
        <w:rPr>
          <w:b w:val="0"/>
          <w:i w:val="0"/>
        </w:rPr>
        <w:t xml:space="preserve"> </w:t>
      </w:r>
      <w:r>
        <w:rPr>
          <w:rFonts w:ascii="DejaVu Sans Mono" w:hAnsi="DejaVu Sans Mono"/>
          <w:b w:val="0"/>
          <w:i w:val="0"/>
          <w:sz w:val="18"/>
        </w:rPr>
        <w:t>~0+group+batch</w:t>
      </w:r>
      <w:r>
        <w:rPr>
          <w:b w:val="0"/>
          <w:i w:val="0"/>
        </w:rPr>
        <w:t>，设计秩15、残差自由度32，35,942基因中15,437保留。三候选前给药DEX×KH-103/MIF/Cort113差中差构成预定Holm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family；后给药仅描述。GEO两条DMSO标题rep2/rep3与set3/set4冲突，按batch与计数列核对保留，不补造缺失DMSO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et2。作者处理对象的51个MG编号/处理/batch独立核对全部一致，缺MG_15确认；13,834共享基因×51列的705,534计数与发布矩阵一致（最大差4.66e-10），102空白/description标识无法对应并逐项保留。SPARCL1亦不在作者过滤后对象中。</w:t>
      </w:r>
    </w:p>
    <w:p>
      <w:r>
        <w:rPr>
          <w:b/>
          <w:i w:val="0"/>
        </w:rPr>
        <w:t>SPARCL1的47文库计数为0–4，全部候选主交互因未通过预定过滤而不可估计。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不能据此支持或否定受体依赖，更不降低过滤阈值获得显著性。表F3显示固定FKBP5控制在DEX及干预中有可测响应，但控制不替代候选。</w:t>
      </w:r>
    </w:p>
    <w:tbl>
      <w:tblPr>
        <w:tblW w:type="dxa" w:w="8164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2381"/>
        <w:gridCol w:w="1474"/>
        <w:gridCol w:w="2551"/>
        <w:gridCol w:w="1757"/>
      </w:tblGrid>
      <w:tr>
        <w:trPr>
          <w:cantSplit/>
          <w:tblHeader/>
        </w:trPr>
        <w:tc>
          <w:tcPr>
            <w:tcW w:type="dxa" w:w="238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FKBP5 对照效应</w:t>
            </w:r>
          </w:p>
        </w:tc>
        <w:tc>
          <w:tcPr>
            <w:tcW w:type="dxa" w:w="147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log2估计</w:t>
            </w:r>
          </w:p>
        </w:tc>
        <w:tc>
          <w:tcPr>
            <w:tcW w:type="dxa" w:w="2551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95% CI</w:t>
            </w:r>
          </w:p>
        </w:tc>
        <w:tc>
          <w:tcPr>
            <w:tcW w:type="dxa" w:w="175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未校正 P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DEX</w:t>
            </w:r>
          </w:p>
        </w:tc>
        <w:tc>
          <w:tcPr>
            <w:tcW w:type="dxa" w:w="147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+2.594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+2.211–+2.976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3.29e-16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KH103</w:t>
            </w:r>
          </w:p>
        </w:tc>
        <w:tc>
          <w:tcPr>
            <w:tcW w:type="dxa" w:w="147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-2.515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-3.023–-2.007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3.62e-12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MIF</w:t>
            </w:r>
          </w:p>
        </w:tc>
        <w:tc>
          <w:tcPr>
            <w:tcW w:type="dxa" w:w="147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-2.498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-2.996–-1.999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2.64e-12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Cort113</w:t>
            </w:r>
          </w:p>
        </w:tc>
        <w:tc>
          <w:tcPr>
            <w:tcW w:type="dxa" w:w="147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-2.121</w:t>
            </w:r>
          </w:p>
        </w:tc>
        <w:tc>
          <w:tcPr>
            <w:tcW w:type="dxa" w:w="2551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-2.611–-1.630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1.32e-10</w:t>
            </w:r>
          </w:p>
        </w:tc>
      </w:tr>
    </w:tbl>
    <w:p>
      <w:r>
        <w:rPr>
          <w:b w:val="0"/>
          <w:i w:val="0"/>
          <w:sz w:val="18"/>
        </w:rPr>
        <w:t>表注：DEX是DMSO背景simple</w:t>
      </w:r>
      <w:r>
        <w:rPr>
          <w:b w:val="0"/>
          <w:i w:val="0"/>
          <w:sz w:val="18"/>
        </w:rPr>
        <w:t xml:space="preserve"> </w:t>
      </w:r>
      <w:r>
        <w:rPr>
          <w:b w:val="0"/>
          <w:i w:val="0"/>
          <w:sz w:val="18"/>
        </w:rPr>
        <w:t>effect；KH103/MIF/Cort113为前给药差中差。均为固定描述控制、未校正P，不把它们混入SPARCL1三检验family。</w:t>
      </w:r>
    </w:p>
    <w:p>
      <w:r>
        <w:rPr>
          <w:b w:val="0"/>
          <w:i w:val="0"/>
        </w:rPr>
        <w:t>Python从发布计数独立核对35,942基因过滤、188候选/控制测量、GEO映射、设计/对比、logCPM、39个WLS系数、t/CI。TMM/voom/eBayes未独立重估。独立复核发现limma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contrasts.fit对加权设计采用共同相关近似，已重建该近似并另导出精确加权协方差敏感性，最大SE相对差2.19%。CI导出最初误按名称索引无名字的s2.post，保存失败记录后仅修复导出；冻结RDS/拟合未改变。</w:t>
      </w:r>
    </w:p>
    <w:p>
      <w:pPr>
        <w:pStyle w:val="Heading1"/>
      </w:pPr>
      <w:r>
        <w:rPr>
          <w:b w:val="0"/>
          <w:i w:val="0"/>
        </w:rPr>
        <w:t>3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ChIP峰与参考基因组核实</w:t>
      </w:r>
    </w:p>
    <w:p>
      <w:r>
        <w:rPr>
          <w:b w:val="0"/>
          <w:i w:val="0"/>
        </w:rPr>
        <w:t>GSE95632为单HASM2供体细胞系培养实验。取得全部18个发布narrowPeak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gzip及原文HTML，逐hash/CRC核对。原GEO写人样本/mm9的冲突完整保留。全部1,347,409峰的染色体和末端落在hg19范围内；hg18/hg38/mm9分别12,937/10,043/158,229峰越界，且mm9缺chr20–22。该全基因组坐标指纹支持</w:t>
      </w:r>
      <w:r>
        <w:rPr>
          <w:b/>
          <w:i w:val="0"/>
        </w:rPr>
        <w:t>坐标核实hg19/GRCh37</w:t>
      </w:r>
      <w:r>
        <w:rPr>
          <w:b w:val="0"/>
          <w:i w:val="0"/>
        </w:rPr>
        <w:t>，不是作者确认的更正；原文XML不可取得、出版社补充HTTP403，OCR不构成确认。</w:t>
      </w:r>
    </w:p>
    <w:p>
      <w:r>
        <w:rPr>
          <w:b w:val="0"/>
          <w:i w:val="0"/>
        </w:rPr>
        <w:t>使用UCSC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ncbiRefSeq四条整染色体快照，固定SPARCL1/FKBP5/TSC22D3/KLF15全部注释TSS。BED零基半开，负链TSS=txEnd−1，GR±20kb、RNAPII±5kb；基因体及±100kb公开敏感性。MACS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q≤.05（−log10q≥log10(20)）保留全部命中，不选最大峰。主分析仅8个未转导vehicle/DEX样本；额外10文库作描述，不混入主条件。</w:t>
      </w:r>
    </w:p>
    <w:p>
      <w:r>
        <w:rPr>
          <w:b w:val="0"/>
          <w:i w:val="0"/>
        </w:rPr>
        <w:t>表F4给出SPARCL1发布峰的主窗口计数。DEX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GR两重复8/8峰逐坐标有8对重叠；RNAPII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1/1亦重叠。vehicle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GR有4/2峰，两个峰重复重叠；RNAPII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0/0。这些结果支持“发布峰在候选窗口重叠”的描述，</w:t>
      </w:r>
      <w:r>
        <w:rPr>
          <w:b/>
          <w:i w:val="0"/>
        </w:rPr>
        <w:t>不是差异占据统计</w:t>
      </w:r>
      <w:r>
        <w:rPr>
          <w:b w:val="0"/>
          <w:i w:val="0"/>
        </w:rPr>
        <w:t>，不能由峰数或control不成峰推断显著增加、直接调控、enhancer连接或功能因果。</w:t>
      </w:r>
    </w:p>
    <w:tbl>
      <w:tblPr>
        <w:tblW w:type="dxa" w:w="8164"/>
        <w:jc w:val="center"/>
        <w:tblLayout w:type="fixed"/>
        <w:tblLook w:firstColumn="1" w:firstRow="1" w:lastColumn="0" w:lastRow="0" w:noHBand="0" w:noVBand="1" w:val="04A0"/>
        <w:tblBorders>
          <w:top w:val="single" w:sz="6" w:color="404040"/>
          <w:bottom w:val="single" w:sz="6" w:color="404040"/>
          <w:insideH w:val="single" w:sz="2" w:color="DDDDDD"/>
        </w:tblBorders>
      </w:tblPr>
      <w:tblGrid>
        <w:gridCol w:w="1984"/>
        <w:gridCol w:w="2438"/>
        <w:gridCol w:w="1984"/>
        <w:gridCol w:w="1757"/>
      </w:tblGrid>
      <w:tr>
        <w:trPr>
          <w:cantSplit/>
          <w:tblHeader/>
        </w:trPr>
        <w:tc>
          <w:tcPr>
            <w:tcW w:type="dxa" w:w="198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原样本</w:t>
            </w:r>
          </w:p>
        </w:tc>
        <w:tc>
          <w:tcPr>
            <w:tcW w:type="dxa" w:w="2438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因子/处理</w:t>
            </w:r>
          </w:p>
        </w:tc>
        <w:tc>
          <w:tcPr>
            <w:tcW w:type="dxa" w:w="1984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固定窗口</w:t>
            </w:r>
          </w:p>
        </w:tc>
        <w:tc>
          <w:tcPr>
            <w:tcW w:type="dxa" w:w="1757"/>
            <w:shd w:fill="EDF3F1"/>
          </w:tcPr>
          <w:p>
            <w:pPr>
              <w:spacing w:before="60" w:after="60" w:line="252" w:lineRule="auto"/>
            </w:pPr>
            <w:r>
              <w:rPr>
                <w:b/>
                <w:sz w:val="19"/>
              </w:rPr>
              <w:t>q≤.05峰数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GSM2519942</w:t>
            </w:r>
          </w:p>
        </w:tc>
        <w:tc>
          <w:tcPr>
            <w:tcW w:type="dxa" w:w="243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GR EtOH_1D</w:t>
            </w:r>
          </w:p>
        </w:tc>
        <w:tc>
          <w:tcPr>
            <w:tcW w:type="dxa" w:w="198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TSS_20000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GSM2519944</w:t>
            </w:r>
          </w:p>
        </w:tc>
        <w:tc>
          <w:tcPr>
            <w:tcW w:type="dxa" w:w="243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GR EtOH_1E</w:t>
            </w:r>
          </w:p>
        </w:tc>
        <w:tc>
          <w:tcPr>
            <w:tcW w:type="dxa" w:w="198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TSS_20000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GSM2519945</w:t>
            </w:r>
          </w:p>
        </w:tc>
        <w:tc>
          <w:tcPr>
            <w:tcW w:type="dxa" w:w="243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GR Dex_2A</w:t>
            </w:r>
          </w:p>
        </w:tc>
        <w:tc>
          <w:tcPr>
            <w:tcW w:type="dxa" w:w="198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TSS_20000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GSM2519947</w:t>
            </w:r>
          </w:p>
        </w:tc>
        <w:tc>
          <w:tcPr>
            <w:tcW w:type="dxa" w:w="243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GR Dex_2E</w:t>
            </w:r>
          </w:p>
        </w:tc>
        <w:tc>
          <w:tcPr>
            <w:tcW w:type="dxa" w:w="198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TSS_20000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GSM2519952</w:t>
            </w:r>
          </w:p>
        </w:tc>
        <w:tc>
          <w:tcPr>
            <w:tcW w:type="dxa" w:w="243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RNAP2 EtOH_5E</w:t>
            </w:r>
          </w:p>
        </w:tc>
        <w:tc>
          <w:tcPr>
            <w:tcW w:type="dxa" w:w="198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TSS_5000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GSM2519953</w:t>
            </w:r>
          </w:p>
        </w:tc>
        <w:tc>
          <w:tcPr>
            <w:tcW w:type="dxa" w:w="243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RNAP2 EtOH_5b</w:t>
            </w:r>
          </w:p>
        </w:tc>
        <w:tc>
          <w:tcPr>
            <w:tcW w:type="dxa" w:w="198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TSS_5000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GSM2519954</w:t>
            </w:r>
          </w:p>
        </w:tc>
        <w:tc>
          <w:tcPr>
            <w:tcW w:type="dxa" w:w="243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RNAP2 Dex_6d</w:t>
            </w:r>
          </w:p>
        </w:tc>
        <w:tc>
          <w:tcPr>
            <w:tcW w:type="dxa" w:w="198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TSS_5000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GSM2519955</w:t>
            </w:r>
          </w:p>
        </w:tc>
        <w:tc>
          <w:tcPr>
            <w:tcW w:type="dxa" w:w="2438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RNAP2 Dex_6e</w:t>
            </w:r>
          </w:p>
        </w:tc>
        <w:tc>
          <w:tcPr>
            <w:tcW w:type="dxa" w:w="1984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TSS_5000</w:t>
            </w:r>
          </w:p>
        </w:tc>
        <w:tc>
          <w:tcPr>
            <w:tcW w:type="dxa" w:w="1757"/>
          </w:tcPr>
          <w:p>
            <w:pPr>
              <w:spacing w:before="60" w:after="60" w:line="252" w:lineRule="auto"/>
            </w:pPr>
            <w:r>
              <w:rPr>
                <w:b w:val="0"/>
                <w:sz w:val="19"/>
              </w:rPr>
              <w:t>1</w:t>
            </w:r>
          </w:p>
        </w:tc>
      </w:tr>
    </w:tbl>
    <w:p>
      <w:r>
        <w:rPr>
          <w:b w:val="0"/>
          <w:i w:val="0"/>
          <w:sz w:val="18"/>
        </w:rPr>
        <w:t>表注：全部坐标、距离、signalValue、q及重复重叠见原始结果表；单细胞系培养重复不增加独立供体数。</w:t>
      </w:r>
    </w:p>
    <w:p>
      <w:r>
        <w:rPr>
          <w:b w:val="0"/>
          <w:i w:val="0"/>
        </w:rPr>
        <w:t>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GenomicRanges直接从原峰和原RefSeq重新构造窗口，288计数项、2,505峰窗口命中、summit/距离及16重复比较通过独立实现复核。原R审计窗口100000被默认科学计数格式变为1e+05的失败保留；包装器仅固定数字格式后通过。</w:t>
      </w:r>
    </w:p>
    <w:p>
      <w:pPr>
        <w:pStyle w:val="Heading1"/>
      </w:pPr>
      <w:r>
        <w:rPr>
          <w:b w:val="0"/>
          <w:i w:val="0"/>
        </w:rPr>
        <w:t>4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可支持结论与复现入口</w:t>
      </w:r>
    </w:p>
    <w:p>
      <w:r>
        <w:rPr>
          <w:b w:val="0"/>
          <w:i w:val="0"/>
        </w:rPr>
        <w:t>共同任务量化计算与语言传递分工；生物学结果则明确区分表达响应、药理干预可测性与染色质窗口重叠。A549无法检验低表达SPARCL1依赖；ASM峰可定位但不足以证明机制。没有新增湿实验、GR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rescue、位点reporter/CRISPR、SPARCL1蛋白/基质/功能/临床终点；独立实现复核也不等于第三方人员科学/code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sign-off。</w:t>
      </w:r>
    </w:p>
    <w:p>
      <w:r>
        <w:rPr>
          <w:b w:val="0"/>
          <w:i w:val="0"/>
        </w:rPr>
        <w:t>主要结果目录：</w:t>
      </w:r>
      <w:r>
        <w:rPr>
          <w:rFonts w:ascii="DejaVu Sans Mono" w:hAnsi="DejaVu Sans Mono"/>
          <w:b w:val="0"/>
          <w:i w:val="0"/>
          <w:sz w:val="18"/>
        </w:rPr>
        <w:t>research/results/common_performance_v4/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discovery_mechanism_fit_v4/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discovery_chip_v1/</w:t>
      </w:r>
      <w:r>
        <w:rPr>
          <w:b w:val="0"/>
          <w:i w:val="0"/>
        </w:rPr>
        <w:t>、</w:t>
      </w:r>
      <w:r>
        <w:rPr>
          <w:rFonts w:ascii="DejaVu Sans Mono" w:hAnsi="DejaVu Sans Mono"/>
          <w:b w:val="0"/>
          <w:i w:val="0"/>
          <w:sz w:val="18"/>
        </w:rPr>
        <w:t>discovery_chip_analysis_v1/</w:t>
      </w:r>
      <w:r>
        <w:rPr>
          <w:b w:val="0"/>
          <w:i w:val="0"/>
        </w:rPr>
        <w:t>。方案与脚本在</w:t>
      </w:r>
      <w:r>
        <w:rPr>
          <w:rFonts w:ascii="DejaVu Sans Mono" w:hAnsi="DejaVu Sans Mono"/>
          <w:b w:val="0"/>
          <w:i w:val="0"/>
          <w:sz w:val="18"/>
        </w:rPr>
        <w:t>research/common_performance/</w:t>
      </w:r>
      <w:r>
        <w:rPr>
          <w:b w:val="0"/>
          <w:i w:val="0"/>
        </w:rPr>
        <w:t>和</w:t>
      </w:r>
      <w:r>
        <w:rPr>
          <w:rFonts w:ascii="DejaVu Sans Mono" w:hAnsi="DejaVu Sans Mono"/>
          <w:b w:val="0"/>
          <w:i w:val="0"/>
          <w:sz w:val="18"/>
        </w:rPr>
        <w:t>research/discovery/</w:t>
      </w:r>
      <w:r>
        <w:rPr>
          <w:b w:val="0"/>
          <w:i w:val="0"/>
        </w:rPr>
        <w:t>；所有输入、freeze、真实HTTP字节、scores、失败/中断、model.rds、独立审计、scientific_ledger及hash清单保留。正式论文仍为v0.10，本件为可编辑研究增补；GitHub/外部上传继续暂停。</w:t>
      </w:r>
    </w:p>
    <w:p>
      <w:pPr>
        <w:pStyle w:val="Heading1"/>
      </w:pPr>
      <w:r>
        <w:rPr>
          <w:b w:val="0"/>
          <w:i w:val="0"/>
        </w:rPr>
        <w:t>参考来源</w:t>
      </w:r>
    </w:p>
    <w:p>
      <w:r>
        <w:t xml:space="preserve">1. </w:t>
      </w:r>
      <w:r>
        <w:rPr>
          <w:b w:val="0"/>
          <w:i w:val="0"/>
        </w:rPr>
        <w:t>共同任务方案：</w:t>
      </w:r>
      <w:r>
        <w:rPr>
          <w:rFonts w:ascii="DejaVu Sans Mono" w:hAnsi="DejaVu Sans Mono"/>
          <w:b w:val="0"/>
          <w:i w:val="0"/>
          <w:sz w:val="18"/>
        </w:rPr>
        <w:t>research/common_performance/PROTOCOL.md</w:t>
      </w:r>
      <w:r>
        <w:rPr>
          <w:b w:val="0"/>
          <w:i w:val="0"/>
        </w:rPr>
        <w:t>；实现修订：</w:t>
      </w:r>
      <w:r>
        <w:rPr>
          <w:rFonts w:ascii="DejaVu Sans Mono" w:hAnsi="DejaVu Sans Mono"/>
          <w:b w:val="0"/>
          <w:i w:val="0"/>
          <w:sz w:val="18"/>
        </w:rPr>
        <w:t>IMPLEMENTATION.md</w:t>
      </w:r>
      <w:r>
        <w:rPr>
          <w:b w:val="0"/>
          <w:i w:val="0"/>
        </w:rPr>
        <w:t>。</w:t>
      </w:r>
    </w:p>
    <w:p>
      <w:r>
        <w:t xml:space="preserve">2. </w:t>
      </w:r>
      <w:r>
        <w:rPr>
          <w:b w:val="0"/>
          <w:i w:val="0"/>
        </w:rPr>
        <w:t>机制方案：</w:t>
      </w:r>
      <w:r>
        <w:rPr>
          <w:rFonts w:ascii="DejaVu Sans Mono" w:hAnsi="DejaVu Sans Mono"/>
          <w:b w:val="0"/>
          <w:i w:val="0"/>
          <w:sz w:val="18"/>
        </w:rPr>
        <w:t>research/discovery/MECHANISM_PROTOCOL.md</w:t>
      </w:r>
      <w:r>
        <w:rPr>
          <w:b w:val="0"/>
          <w:i w:val="0"/>
        </w:rPr>
        <w:t>；GEO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GSE229084、GSE95632元数据快照。</w:t>
      </w:r>
    </w:p>
    <w:p>
      <w:r>
        <w:t xml:space="preserve">3. </w:t>
      </w:r>
      <w:r>
        <w:rPr>
          <w:b w:val="0"/>
          <w:i w:val="0"/>
        </w:rPr>
        <w:t>Gazorpak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2023.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doi:10.1038/s41467-023-44031-2；保存PMC10710461.xml。</w:t>
      </w:r>
    </w:p>
    <w:p>
      <w:r>
        <w:t xml:space="preserve">4. </w:t>
      </w:r>
      <w:r>
        <w:rPr>
          <w:b w:val="0"/>
          <w:i w:val="0"/>
        </w:rPr>
        <w:t>Sasse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et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al. 2017.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doi:10.1165/rcmb.2016-0357OC；保存PMC5576583_article.html。</w:t>
      </w:r>
    </w:p>
    <w:p>
      <w:r>
        <w:t xml:space="preserve">5. </w:t>
      </w:r>
      <w:r>
        <w:rPr>
          <w:b w:val="0"/>
          <w:i w:val="0"/>
        </w:rPr>
        <w:t>UCSC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hg18/hg19/hg38/mm9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chromosome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sizes与hg19</w:t>
      </w:r>
      <w:r>
        <w:rPr>
          <w:b w:val="0"/>
          <w:i w:val="0"/>
        </w:rPr>
        <w:t xml:space="preserve"> </w:t>
      </w:r>
      <w:r>
        <w:rPr>
          <w:b w:val="0"/>
          <w:i w:val="0"/>
        </w:rPr>
        <w:t>ncbiRefSeq快照，访问UTC见acquisition记录。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Noto Sans CJK SC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8" w:lineRule="auto"/>
      <w:outlineLvl w:val="0"/>
      <w:numPr>
        <w:numId w:val="0"/>
      </w:numPr>
    </w:pPr>
    <w:rPr>
      <w:rFonts w:ascii="Calibri" w:hAnsi="Calibri" w:eastAsia="Noto Sans CJK SC"/>
      <w:b/>
      <w:bCs/>
      <w:color w:val="2020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8" w:lineRule="auto"/>
      <w:outlineLvl w:val="1"/>
      <w:numPr>
        <w:numId w:val="0"/>
      </w:numPr>
    </w:pPr>
    <w:rPr>
      <w:rFonts w:ascii="Calibri" w:hAnsi="Calibri" w:eastAsia="Noto Sans CJK SC"/>
      <w:b/>
      <w:bCs/>
      <w:color w:val="20202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88" w:lineRule="auto"/>
      <w:outlineLvl w:val="2"/>
      <w:numPr>
        <w:numId w:val="0"/>
      </w:numPr>
    </w:pPr>
    <w:rPr>
      <w:rFonts w:ascii="Calibri" w:hAnsi="Calibri" w:eastAsia="Noto Sans CJK SC"/>
      <w:b/>
      <w:bCs/>
      <w:color w:val="20202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88" w:lineRule="auto"/>
      <w:contextualSpacing/>
    </w:pPr>
    <w:rPr>
      <w:rFonts w:ascii="Calibri" w:hAnsi="Calibri" w:eastAsia="Noto Sans CJK SC"/>
      <w:color w:val="20202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="Calibri" w:hAnsi="Calibri" w:eastAsia="Noto Sans CJK SC"/>
      <w:i/>
      <w:iCs/>
      <w:color w:val="20202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pPr>
      <w:numPr>
        <w:numId w:val="0"/>
      </w:numPr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