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A38ED" w14:textId="356ED808" w:rsidR="005F37D7" w:rsidRPr="005F37D7" w:rsidRDefault="005F37D7" w:rsidP="00A178D7">
      <w:pPr>
        <w:spacing w:line="480" w:lineRule="auto"/>
        <w:jc w:val="center"/>
        <w:rPr>
          <w:rFonts w:ascii="Times New Roman" w:hAnsi="Times New Roman" w:cs="Times New Roman"/>
        </w:rPr>
      </w:pPr>
      <w:r w:rsidRPr="005F37D7">
        <w:rPr>
          <w:rFonts w:ascii="Arial" w:hAnsi="Arial" w:cs="Arial"/>
          <w:b/>
          <w:bCs/>
          <w:color w:val="000000"/>
        </w:rPr>
        <w:t xml:space="preserve">Tubocurarine reduces single twitch contractile force of cane </w:t>
      </w:r>
      <w:r w:rsidRPr="00A178D7">
        <w:rPr>
          <w:rFonts w:ascii="Arial" w:hAnsi="Arial" w:cs="Arial"/>
          <w:b/>
          <w:bCs/>
          <w:color w:val="000000"/>
        </w:rPr>
        <w:t xml:space="preserve">toad </w:t>
      </w:r>
      <w:r w:rsidR="00A178D7" w:rsidRPr="00A178D7">
        <w:rPr>
          <w:rFonts w:ascii="Arial" w:hAnsi="Arial" w:cs="Arial"/>
          <w:b/>
          <w:color w:val="000000"/>
        </w:rPr>
        <w:t>sciatic</w:t>
      </w:r>
      <w:r w:rsidR="00A178D7" w:rsidRPr="00A178D7">
        <w:rPr>
          <w:rFonts w:ascii="Arial" w:hAnsi="Arial" w:cs="Arial"/>
          <w:b/>
          <w:bCs/>
          <w:color w:val="000000"/>
        </w:rPr>
        <w:t xml:space="preserve"> </w:t>
      </w:r>
      <w:r w:rsidR="00A178D7" w:rsidRPr="00A178D7">
        <w:rPr>
          <w:rFonts w:ascii="Arial" w:hAnsi="Arial" w:cs="Arial"/>
          <w:b/>
          <w:color w:val="000000"/>
        </w:rPr>
        <w:t>nerve-gastrocnemius</w:t>
      </w:r>
      <w:r w:rsidR="00A178D7" w:rsidRPr="005F37D7">
        <w:rPr>
          <w:rFonts w:ascii="Arial" w:hAnsi="Arial" w:cs="Arial"/>
          <w:color w:val="000000"/>
        </w:rPr>
        <w:t xml:space="preserve"> </w:t>
      </w:r>
      <w:r w:rsidR="00A178D7" w:rsidRPr="00A178D7">
        <w:rPr>
          <w:rFonts w:ascii="Arial" w:hAnsi="Arial" w:cs="Arial"/>
          <w:b/>
          <w:color w:val="000000"/>
        </w:rPr>
        <w:t>muscle</w:t>
      </w:r>
      <w:r w:rsidR="00A178D7" w:rsidRPr="005F37D7">
        <w:rPr>
          <w:rFonts w:ascii="Arial" w:hAnsi="Arial" w:cs="Arial"/>
          <w:b/>
          <w:bCs/>
          <w:color w:val="000000"/>
        </w:rPr>
        <w:t xml:space="preserve"> </w:t>
      </w:r>
      <w:r w:rsidRPr="005F37D7">
        <w:rPr>
          <w:rFonts w:ascii="Arial" w:hAnsi="Arial" w:cs="Arial"/>
          <w:b/>
          <w:bCs/>
          <w:color w:val="000000"/>
        </w:rPr>
        <w:t>under neurogenic stimulation</w:t>
      </w:r>
    </w:p>
    <w:p w14:paraId="4366BA95" w14:textId="77777777" w:rsidR="005F37D7" w:rsidRPr="005F37D7" w:rsidRDefault="005F37D7" w:rsidP="005F37D7">
      <w:pPr>
        <w:spacing w:line="480" w:lineRule="auto"/>
        <w:rPr>
          <w:rFonts w:ascii="Times New Roman" w:hAnsi="Times New Roman" w:cs="Times New Roman"/>
        </w:rPr>
      </w:pPr>
      <w:r w:rsidRPr="005F37D7">
        <w:rPr>
          <w:rFonts w:ascii="Arial" w:hAnsi="Arial" w:cs="Arial"/>
          <w:b/>
          <w:bCs/>
          <w:color w:val="000000"/>
        </w:rPr>
        <w:t>Introduction</w:t>
      </w:r>
    </w:p>
    <w:p w14:paraId="5710C1D7" w14:textId="1F286874" w:rsidR="005F37D7" w:rsidRPr="005F37D7" w:rsidRDefault="005F37D7" w:rsidP="005F37D7">
      <w:pPr>
        <w:spacing w:line="480" w:lineRule="auto"/>
        <w:ind w:firstLine="720"/>
        <w:rPr>
          <w:rFonts w:ascii="Times New Roman" w:hAnsi="Times New Roman" w:cs="Times New Roman"/>
        </w:rPr>
      </w:pPr>
      <w:r w:rsidRPr="005F37D7">
        <w:rPr>
          <w:rFonts w:ascii="Arial" w:hAnsi="Arial" w:cs="Arial"/>
          <w:color w:val="000000"/>
        </w:rPr>
        <w:t xml:space="preserve">Tubocurarine was historically used as a surgical anaesthetic, as a replacement for barbiturates. This pharmacological antagonist acts on the neuromuscular junction by preventing endogenous acetylcholine (ACh) from binding to nicotinic acetylcholine receptors (nAChR) at the neuromuscular junction (NMJ) (Gray </w:t>
      </w:r>
      <w:r w:rsidR="00B601EE">
        <w:rPr>
          <w:rFonts w:ascii="Arial" w:hAnsi="Arial" w:cs="Arial"/>
          <w:color w:val="000000"/>
        </w:rPr>
        <w:t>&amp;</w:t>
      </w:r>
      <w:r w:rsidRPr="005F37D7">
        <w:rPr>
          <w:rFonts w:ascii="Arial" w:hAnsi="Arial" w:cs="Arial"/>
          <w:color w:val="000000"/>
        </w:rPr>
        <w:t xml:space="preserve"> Halton, 1946; Jenkinson, 1960). Prevention of these post-synaptic ligand-gated sodium ion channels from opening is understood to result in muscle fibres being unable to contract, thus causing</w:t>
      </w:r>
      <w:r w:rsidRPr="005F37D7">
        <w:rPr>
          <w:rFonts w:ascii="Arial" w:hAnsi="Arial" w:cs="Arial"/>
          <w:b/>
          <w:bCs/>
          <w:color w:val="000000"/>
        </w:rPr>
        <w:t xml:space="preserve"> </w:t>
      </w:r>
      <w:r w:rsidRPr="005F37D7">
        <w:rPr>
          <w:rFonts w:ascii="Arial" w:hAnsi="Arial" w:cs="Arial"/>
          <w:color w:val="000000"/>
        </w:rPr>
        <w:t>muscle paralysis.</w:t>
      </w:r>
    </w:p>
    <w:p w14:paraId="38E93B88" w14:textId="777C6C50" w:rsidR="005F37D7" w:rsidRPr="005F37D7" w:rsidRDefault="005F37D7" w:rsidP="005F37D7">
      <w:pPr>
        <w:spacing w:line="480" w:lineRule="auto"/>
        <w:ind w:firstLine="720"/>
        <w:rPr>
          <w:rFonts w:ascii="Times New Roman" w:hAnsi="Times New Roman" w:cs="Times New Roman"/>
        </w:rPr>
      </w:pPr>
      <w:r w:rsidRPr="005F37D7">
        <w:rPr>
          <w:rFonts w:ascii="Arial" w:hAnsi="Arial" w:cs="Arial"/>
          <w:color w:val="000000"/>
        </w:rPr>
        <w:t xml:space="preserve">Tubocurarine has experimentally been found to reduce post-synaptic action potential generation by acetylcholine in mammalian acetylcholine receptors (Steinbach </w:t>
      </w:r>
      <w:r w:rsidR="00B601EE">
        <w:rPr>
          <w:rFonts w:ascii="Arial" w:hAnsi="Arial" w:cs="Arial"/>
          <w:color w:val="000000"/>
        </w:rPr>
        <w:t>&amp;</w:t>
      </w:r>
      <w:r w:rsidRPr="005F37D7">
        <w:rPr>
          <w:rFonts w:ascii="Arial" w:hAnsi="Arial" w:cs="Arial"/>
          <w:color w:val="000000"/>
        </w:rPr>
        <w:t xml:space="preserve"> Chen, 1995)</w:t>
      </w:r>
      <w:r w:rsidR="00B601EE">
        <w:rPr>
          <w:rFonts w:ascii="Arial" w:hAnsi="Arial" w:cs="Arial"/>
          <w:color w:val="000000"/>
        </w:rPr>
        <w:t>,</w:t>
      </w:r>
      <w:r w:rsidRPr="005F37D7">
        <w:rPr>
          <w:rFonts w:ascii="Arial" w:hAnsi="Arial" w:cs="Arial"/>
          <w:color w:val="000000"/>
        </w:rPr>
        <w:t xml:space="preserve"> as well as a loss in excitability in frog sartorius muscle fibres (Ochs </w:t>
      </w:r>
      <w:r w:rsidR="00B601EE">
        <w:rPr>
          <w:rFonts w:ascii="Arial" w:hAnsi="Arial" w:cs="Arial"/>
          <w:color w:val="000000"/>
        </w:rPr>
        <w:t>&amp;</w:t>
      </w:r>
      <w:r w:rsidRPr="005F37D7">
        <w:rPr>
          <w:rFonts w:ascii="Arial" w:hAnsi="Arial" w:cs="Arial"/>
          <w:color w:val="000000"/>
        </w:rPr>
        <w:t xml:space="preserve"> Mukherjee, 1959). The gastrocnemius muscle similarly contains nAChRs </w:t>
      </w:r>
      <w:r w:rsidR="00B601EE">
        <w:rPr>
          <w:rFonts w:ascii="Arial" w:hAnsi="Arial" w:cs="Arial"/>
          <w:color w:val="000000"/>
        </w:rPr>
        <w:t xml:space="preserve">on the endplate of the neuromuscular junction </w:t>
      </w:r>
      <w:r w:rsidRPr="005F37D7">
        <w:rPr>
          <w:rFonts w:ascii="Arial" w:hAnsi="Arial" w:cs="Arial"/>
          <w:color w:val="000000"/>
        </w:rPr>
        <w:t>which respond to ACh release</w:t>
      </w:r>
      <w:r w:rsidR="00F01FE6">
        <w:rPr>
          <w:rFonts w:ascii="Arial" w:hAnsi="Arial" w:cs="Arial"/>
          <w:color w:val="000000"/>
        </w:rPr>
        <w:t>d</w:t>
      </w:r>
      <w:r w:rsidRPr="005F37D7">
        <w:rPr>
          <w:rFonts w:ascii="Arial" w:hAnsi="Arial" w:cs="Arial"/>
          <w:color w:val="000000"/>
        </w:rPr>
        <w:t xml:space="preserve"> from presynaptic lower motor neurons (Castillo </w:t>
      </w:r>
      <w:r w:rsidR="00F01FE6">
        <w:rPr>
          <w:rFonts w:ascii="Arial" w:hAnsi="Arial" w:cs="Arial"/>
          <w:color w:val="000000"/>
        </w:rPr>
        <w:t>&amp;</w:t>
      </w:r>
      <w:r w:rsidRPr="005F37D7">
        <w:rPr>
          <w:rFonts w:ascii="Arial" w:hAnsi="Arial" w:cs="Arial"/>
          <w:color w:val="000000"/>
        </w:rPr>
        <w:t xml:space="preserve"> Katz, 1955). It is therefore predicted that the presence of tubocurarine in a cane toad</w:t>
      </w:r>
      <w:r w:rsidRPr="005F37D7">
        <w:rPr>
          <w:rFonts w:ascii="Arial" w:hAnsi="Arial" w:cs="Arial"/>
          <w:b/>
          <w:bCs/>
          <w:color w:val="000000"/>
        </w:rPr>
        <w:t xml:space="preserve"> </w:t>
      </w:r>
      <w:r w:rsidRPr="005F37D7">
        <w:rPr>
          <w:rFonts w:ascii="Arial" w:hAnsi="Arial" w:cs="Arial"/>
          <w:color w:val="000000"/>
        </w:rPr>
        <w:t>sciatic</w:t>
      </w:r>
      <w:r w:rsidRPr="005F37D7">
        <w:rPr>
          <w:rFonts w:ascii="Arial" w:hAnsi="Arial" w:cs="Arial"/>
          <w:b/>
          <w:bCs/>
          <w:color w:val="000000"/>
        </w:rPr>
        <w:t xml:space="preserve"> </w:t>
      </w:r>
      <w:r w:rsidRPr="005F37D7">
        <w:rPr>
          <w:rFonts w:ascii="Arial" w:hAnsi="Arial" w:cs="Arial"/>
          <w:color w:val="000000"/>
        </w:rPr>
        <w:t>nerve-gastrocnemius musc</w:t>
      </w:r>
      <w:r w:rsidR="00F01FE6">
        <w:rPr>
          <w:rFonts w:ascii="Arial" w:hAnsi="Arial" w:cs="Arial"/>
          <w:color w:val="000000"/>
        </w:rPr>
        <w:t xml:space="preserve">le preparation would reduce the force of muscle contraction </w:t>
      </w:r>
      <w:r w:rsidRPr="005F37D7">
        <w:rPr>
          <w:rFonts w:ascii="Arial" w:hAnsi="Arial" w:cs="Arial"/>
          <w:color w:val="000000"/>
        </w:rPr>
        <w:t>when stimulated indirectly via an ACh-releasing motor neurone, but not under direct stimulation of the muscle fibres (Blair,1938).</w:t>
      </w:r>
    </w:p>
    <w:p w14:paraId="669DB5DB" w14:textId="5C3EBB13" w:rsidR="005F37D7" w:rsidRPr="005F37D7" w:rsidRDefault="005F37D7" w:rsidP="005F37D7">
      <w:pPr>
        <w:spacing w:line="480" w:lineRule="auto"/>
        <w:ind w:firstLine="720"/>
        <w:rPr>
          <w:rFonts w:ascii="Times New Roman" w:hAnsi="Times New Roman" w:cs="Times New Roman"/>
        </w:rPr>
      </w:pPr>
      <w:r w:rsidRPr="005F37D7">
        <w:rPr>
          <w:rFonts w:ascii="Arial" w:hAnsi="Arial" w:cs="Arial"/>
          <w:color w:val="000000"/>
        </w:rPr>
        <w:t xml:space="preserve">The aim of this study is to observe the effect of tubocurarine on an in-vitro </w:t>
      </w:r>
      <w:r w:rsidR="00F01FE6" w:rsidRPr="005F37D7">
        <w:rPr>
          <w:rFonts w:ascii="Arial" w:hAnsi="Arial" w:cs="Arial"/>
          <w:color w:val="000000"/>
        </w:rPr>
        <w:t>sciatic</w:t>
      </w:r>
      <w:r w:rsidR="00F01FE6" w:rsidRPr="005F37D7">
        <w:rPr>
          <w:rFonts w:ascii="Arial" w:hAnsi="Arial" w:cs="Arial"/>
          <w:b/>
          <w:bCs/>
          <w:color w:val="000000"/>
        </w:rPr>
        <w:t xml:space="preserve"> </w:t>
      </w:r>
      <w:r w:rsidR="00F01FE6" w:rsidRPr="005F37D7">
        <w:rPr>
          <w:rFonts w:ascii="Arial" w:hAnsi="Arial" w:cs="Arial"/>
          <w:color w:val="000000"/>
        </w:rPr>
        <w:t xml:space="preserve">nerve-gastrocnemius muscle </w:t>
      </w:r>
      <w:r w:rsidRPr="005F37D7">
        <w:rPr>
          <w:rFonts w:ascii="Arial" w:hAnsi="Arial" w:cs="Arial"/>
          <w:color w:val="000000"/>
        </w:rPr>
        <w:t xml:space="preserve">preparation through both myogenic and neurogenic electrostimulation. To determine if tubocurarine affected muscle contractility, the stimulus voltage required for a maximum contractile response was first established and subsequent </w:t>
      </w:r>
      <w:r w:rsidR="00AE13C5">
        <w:rPr>
          <w:rFonts w:ascii="Arial" w:hAnsi="Arial" w:cs="Arial"/>
          <w:color w:val="000000"/>
        </w:rPr>
        <w:t xml:space="preserve">forces exerted by the muscle </w:t>
      </w:r>
      <w:r w:rsidRPr="005F37D7">
        <w:rPr>
          <w:rFonts w:ascii="Arial" w:hAnsi="Arial" w:cs="Arial"/>
          <w:color w:val="000000"/>
        </w:rPr>
        <w:t xml:space="preserve">at this stimulus </w:t>
      </w:r>
      <w:r w:rsidRPr="005F37D7">
        <w:rPr>
          <w:rFonts w:ascii="Arial" w:hAnsi="Arial" w:cs="Arial"/>
          <w:color w:val="000000"/>
        </w:rPr>
        <w:lastRenderedPageBreak/>
        <w:t xml:space="preserve">voltage were then compared. Thus, the null hypotheses were: the addition of tubocurarine had no effect on maximum neurogenically stimulated contraction at a given voltage for the nerve-gastrocnemius preparation (1) and the tubocurarine had no effect on the maximum contraction at a given voltage for the myogenically stimulated </w:t>
      </w:r>
      <w:r w:rsidR="00AE13C5" w:rsidRPr="005F37D7">
        <w:rPr>
          <w:rFonts w:ascii="Arial" w:hAnsi="Arial" w:cs="Arial"/>
          <w:color w:val="000000"/>
        </w:rPr>
        <w:t>sciatic</w:t>
      </w:r>
      <w:r w:rsidR="00AE13C5" w:rsidRPr="005F37D7">
        <w:rPr>
          <w:rFonts w:ascii="Arial" w:hAnsi="Arial" w:cs="Arial"/>
          <w:b/>
          <w:bCs/>
          <w:color w:val="000000"/>
        </w:rPr>
        <w:t xml:space="preserve"> </w:t>
      </w:r>
      <w:r w:rsidR="00AE13C5" w:rsidRPr="005F37D7">
        <w:rPr>
          <w:rFonts w:ascii="Arial" w:hAnsi="Arial" w:cs="Arial"/>
          <w:color w:val="000000"/>
        </w:rPr>
        <w:t xml:space="preserve">nerve-gastrocnemius muscle </w:t>
      </w:r>
      <w:r w:rsidRPr="005F37D7">
        <w:rPr>
          <w:rFonts w:ascii="Arial" w:hAnsi="Arial" w:cs="Arial"/>
          <w:color w:val="000000"/>
        </w:rPr>
        <w:t xml:space="preserve">preparation (2). </w:t>
      </w:r>
    </w:p>
    <w:p w14:paraId="52F2D864" w14:textId="77777777" w:rsidR="005F37D7" w:rsidRPr="005F37D7" w:rsidRDefault="005F37D7" w:rsidP="005F37D7">
      <w:pPr>
        <w:spacing w:line="480" w:lineRule="auto"/>
        <w:rPr>
          <w:rFonts w:ascii="Times New Roman" w:hAnsi="Times New Roman" w:cs="Times New Roman"/>
        </w:rPr>
      </w:pPr>
      <w:r w:rsidRPr="005F37D7">
        <w:rPr>
          <w:rFonts w:ascii="Arial" w:hAnsi="Arial" w:cs="Arial"/>
          <w:b/>
          <w:bCs/>
          <w:color w:val="000000"/>
        </w:rPr>
        <w:t>Methods</w:t>
      </w:r>
    </w:p>
    <w:p w14:paraId="49645642" w14:textId="0E97BFDA" w:rsidR="005F37D7" w:rsidRPr="005F37D7" w:rsidRDefault="005F37D7" w:rsidP="005F37D7">
      <w:pPr>
        <w:spacing w:line="480" w:lineRule="auto"/>
        <w:ind w:firstLine="720"/>
        <w:rPr>
          <w:rFonts w:ascii="Times New Roman" w:hAnsi="Times New Roman" w:cs="Times New Roman"/>
        </w:rPr>
      </w:pPr>
      <w:r w:rsidRPr="005F37D7">
        <w:rPr>
          <w:rFonts w:ascii="Arial" w:hAnsi="Arial" w:cs="Arial"/>
          <w:color w:val="000000"/>
        </w:rPr>
        <w:t>Experiments were carried out on an isolated cane toad sciatic nerve-gastrocnemius muscle preparation that was dissected approximately 2 hours prior to use. The preparation was placed on top of the electrode wires on a tissue bath, with the proximal end attached to the negative terminal and submerged in Ringer's solution as previously described (University of Sydney, 2016).</w:t>
      </w:r>
      <w:r w:rsidR="00C706AF">
        <w:rPr>
          <w:rFonts w:ascii="Arial" w:hAnsi="Arial" w:cs="Arial"/>
          <w:color w:val="000000"/>
        </w:rPr>
        <w:t xml:space="preserve"> A length of thread attached </w:t>
      </w:r>
      <w:r w:rsidRPr="005F37D7">
        <w:rPr>
          <w:rFonts w:ascii="Arial" w:hAnsi="Arial" w:cs="Arial"/>
          <w:color w:val="000000"/>
        </w:rPr>
        <w:t>at the distal end of the preparation was attached to a 500g capacity force transducer (ADinstruments) via a pulley. A PowerLab device was used to record data on a PC using LabChart software.</w:t>
      </w:r>
    </w:p>
    <w:p w14:paraId="294E0B54" w14:textId="5D658493" w:rsidR="005F37D7" w:rsidRPr="005F37D7" w:rsidRDefault="005F37D7" w:rsidP="005F37D7">
      <w:pPr>
        <w:spacing w:line="480" w:lineRule="auto"/>
        <w:ind w:firstLine="720"/>
        <w:rPr>
          <w:rFonts w:ascii="Times New Roman" w:hAnsi="Times New Roman" w:cs="Times New Roman"/>
        </w:rPr>
      </w:pPr>
      <w:r w:rsidRPr="005F37D7">
        <w:rPr>
          <w:rFonts w:ascii="Arial" w:hAnsi="Arial" w:cs="Arial"/>
          <w:color w:val="000000"/>
        </w:rPr>
        <w:t>To determine the parameters for neurogenic stimulation, single twitch voltages were applied to the nerve starting until contractile force reached a maximum. The corresponding voltage was used for the remainder of the experiment. This was repeated with stimulation applied directly to the muscle to find the experimental parameters for myogenic stimulation.</w:t>
      </w:r>
    </w:p>
    <w:p w14:paraId="321557D4" w14:textId="4CEB0961" w:rsidR="005F37D7" w:rsidRPr="005F37D7" w:rsidRDefault="005F37D7" w:rsidP="005F37D7">
      <w:pPr>
        <w:spacing w:line="480" w:lineRule="auto"/>
        <w:ind w:firstLine="720"/>
        <w:rPr>
          <w:rFonts w:ascii="Times New Roman" w:hAnsi="Times New Roman" w:cs="Times New Roman"/>
        </w:rPr>
      </w:pPr>
      <w:r w:rsidRPr="005F37D7">
        <w:rPr>
          <w:rFonts w:ascii="Arial" w:hAnsi="Arial" w:cs="Arial"/>
          <w:color w:val="000000"/>
        </w:rPr>
        <w:t>In the experimental phase, the LabChart software was set to deliver the maximal stimulus voltage for neurogenic stimulation (pulse interval 0.005s, frequency 300Hz). Using a single twitch contraction, the muscle was neurogenically stimu</w:t>
      </w:r>
      <w:r w:rsidR="00FC764A">
        <w:rPr>
          <w:rFonts w:ascii="Arial" w:hAnsi="Arial" w:cs="Arial"/>
          <w:color w:val="000000"/>
        </w:rPr>
        <w:t xml:space="preserve">lated in Ringer's solution, which was subsequently </w:t>
      </w:r>
      <w:r w:rsidRPr="005F37D7">
        <w:rPr>
          <w:rFonts w:ascii="Arial" w:hAnsi="Arial" w:cs="Arial"/>
          <w:color w:val="000000"/>
        </w:rPr>
        <w:t>removed and replaced</w:t>
      </w:r>
      <w:r w:rsidR="0027310D">
        <w:rPr>
          <w:rFonts w:ascii="Arial" w:hAnsi="Arial" w:cs="Arial"/>
          <w:color w:val="000000"/>
        </w:rPr>
        <w:t xml:space="preserve"> with tubocurarine solution (10</w:t>
      </w:r>
      <w:r w:rsidR="005906F1">
        <w:rPr>
          <w:rFonts w:ascii="Arial" w:hAnsi="Arial" w:cs="Arial"/>
          <w:color w:val="000000"/>
          <w:vertAlign w:val="superscript"/>
        </w:rPr>
        <w:t>-9</w:t>
      </w:r>
      <w:r w:rsidRPr="005F37D7">
        <w:rPr>
          <w:rFonts w:ascii="Arial" w:hAnsi="Arial" w:cs="Arial"/>
          <w:color w:val="000000"/>
        </w:rPr>
        <w:t xml:space="preserve"> M). This procedure was repeated for increasing concentrations of tu</w:t>
      </w:r>
      <w:r w:rsidR="00FC764A">
        <w:rPr>
          <w:rFonts w:ascii="Arial" w:hAnsi="Arial" w:cs="Arial"/>
          <w:color w:val="000000"/>
        </w:rPr>
        <w:t>bocurarine</w:t>
      </w:r>
      <w:r w:rsidR="005906F1">
        <w:rPr>
          <w:rFonts w:ascii="Arial" w:hAnsi="Arial" w:cs="Arial"/>
          <w:color w:val="000000"/>
        </w:rPr>
        <w:t xml:space="preserve"> </w:t>
      </w:r>
      <w:r w:rsidR="00FC764A">
        <w:rPr>
          <w:rFonts w:ascii="Arial" w:hAnsi="Arial" w:cs="Arial"/>
          <w:color w:val="000000"/>
        </w:rPr>
        <w:t>(from 10</w:t>
      </w:r>
      <w:r w:rsidR="005906F1">
        <w:rPr>
          <w:rFonts w:ascii="Arial" w:hAnsi="Arial" w:cs="Arial"/>
          <w:color w:val="000000"/>
          <w:vertAlign w:val="superscript"/>
        </w:rPr>
        <w:t>-8</w:t>
      </w:r>
      <w:r w:rsidR="000B35D3">
        <w:rPr>
          <w:rFonts w:ascii="Arial" w:hAnsi="Arial" w:cs="Arial"/>
          <w:color w:val="000000"/>
          <w:vertAlign w:val="superscript"/>
        </w:rPr>
        <w:t xml:space="preserve"> </w:t>
      </w:r>
      <w:r w:rsidR="005906F1">
        <w:rPr>
          <w:rFonts w:ascii="Arial" w:hAnsi="Arial" w:cs="Arial"/>
          <w:color w:val="000000"/>
        </w:rPr>
        <w:t>M to 10</w:t>
      </w:r>
      <w:r w:rsidR="005906F1">
        <w:rPr>
          <w:rFonts w:ascii="Arial" w:hAnsi="Arial" w:cs="Arial"/>
          <w:color w:val="000000"/>
          <w:vertAlign w:val="superscript"/>
        </w:rPr>
        <w:t>-4</w:t>
      </w:r>
      <w:r w:rsidRPr="005F37D7">
        <w:rPr>
          <w:rFonts w:ascii="Arial" w:hAnsi="Arial" w:cs="Arial"/>
          <w:color w:val="000000"/>
        </w:rPr>
        <w:t xml:space="preserve"> M</w:t>
      </w:r>
      <w:r w:rsidR="005906F1">
        <w:rPr>
          <w:rFonts w:ascii="Arial" w:hAnsi="Arial" w:cs="Arial"/>
          <w:color w:val="000000"/>
        </w:rPr>
        <w:t xml:space="preserve">) </w:t>
      </w:r>
      <w:r w:rsidRPr="005F37D7">
        <w:rPr>
          <w:rFonts w:ascii="Arial" w:hAnsi="Arial" w:cs="Arial"/>
          <w:color w:val="000000"/>
        </w:rPr>
        <w:t>with intermittent washes of Ringer's solution. The muscle was then stimulated myogenically at the maximal myogenic stimulus voltage using the same experimental procedure</w:t>
      </w:r>
      <w:r w:rsidR="00FC764A">
        <w:rPr>
          <w:rFonts w:ascii="Arial" w:hAnsi="Arial" w:cs="Arial"/>
          <w:color w:val="000000"/>
        </w:rPr>
        <w:t xml:space="preserve">. </w:t>
      </w:r>
    </w:p>
    <w:p w14:paraId="0FFE20C9" w14:textId="77777777" w:rsidR="005F37D7" w:rsidRPr="005F37D7" w:rsidRDefault="005F37D7" w:rsidP="005F37D7">
      <w:pPr>
        <w:spacing w:after="120" w:line="480" w:lineRule="auto"/>
        <w:rPr>
          <w:rFonts w:ascii="Times New Roman" w:hAnsi="Times New Roman" w:cs="Times New Roman"/>
        </w:rPr>
      </w:pPr>
      <w:r w:rsidRPr="005F37D7">
        <w:rPr>
          <w:rFonts w:ascii="Arial" w:hAnsi="Arial" w:cs="Arial"/>
          <w:b/>
          <w:bCs/>
          <w:color w:val="000000"/>
        </w:rPr>
        <w:t>Results</w:t>
      </w:r>
    </w:p>
    <w:p w14:paraId="233C8B00" w14:textId="77777777" w:rsidR="005F37D7" w:rsidRPr="005F37D7" w:rsidRDefault="005F37D7" w:rsidP="009A2C23">
      <w:pPr>
        <w:spacing w:after="120" w:line="480" w:lineRule="auto"/>
        <w:ind w:firstLine="720"/>
        <w:rPr>
          <w:rFonts w:ascii="Times New Roman" w:hAnsi="Times New Roman" w:cs="Times New Roman"/>
        </w:rPr>
      </w:pPr>
      <w:r w:rsidRPr="005F37D7">
        <w:rPr>
          <w:rFonts w:ascii="Arial" w:hAnsi="Arial" w:cs="Arial"/>
          <w:color w:val="000000"/>
        </w:rPr>
        <w:t xml:space="preserve">The parameters of the muscle were determined by increasing the stimulus voltage until the maximal force was exerted. When stimulating the muscle neurogenically, this maximal voltage was 1.75V, and when stimulating the muscle myogenically, this maximal voltage was 2.5V. </w:t>
      </w:r>
    </w:p>
    <w:p w14:paraId="64AD3984" w14:textId="77777777" w:rsidR="005F37D7" w:rsidRPr="00675173" w:rsidRDefault="005F37D7" w:rsidP="00675173">
      <w:pPr>
        <w:spacing w:after="120" w:line="276" w:lineRule="auto"/>
        <w:rPr>
          <w:rFonts w:ascii="Times New Roman" w:hAnsi="Times New Roman" w:cs="Times New Roman"/>
          <w:b/>
          <w:sz w:val="21"/>
        </w:rPr>
      </w:pPr>
      <w:r w:rsidRPr="00675173">
        <w:rPr>
          <w:rFonts w:ascii="Arial" w:hAnsi="Arial" w:cs="Arial"/>
          <w:b/>
          <w:color w:val="000000"/>
          <w:sz w:val="21"/>
        </w:rPr>
        <w:t>Table 1: Muscle responses (mN) of the nerve-gastrocnemius toad preparation at 1.75V under neurogenic stimulation when increasing concentrations of tubocurarine are added to the tissue bath</w:t>
      </w:r>
    </w:p>
    <w:tbl>
      <w:tblPr>
        <w:tblStyle w:val="TableGrid"/>
        <w:tblW w:w="9356" w:type="dxa"/>
        <w:tblLayout w:type="fixed"/>
        <w:tblLook w:val="04A0" w:firstRow="1" w:lastRow="0" w:firstColumn="1" w:lastColumn="0" w:noHBand="0" w:noVBand="1"/>
      </w:tblPr>
      <w:tblGrid>
        <w:gridCol w:w="1313"/>
        <w:gridCol w:w="1943"/>
        <w:gridCol w:w="1013"/>
        <w:gridCol w:w="1020"/>
        <w:gridCol w:w="1020"/>
        <w:gridCol w:w="1020"/>
        <w:gridCol w:w="1020"/>
        <w:gridCol w:w="1007"/>
      </w:tblGrid>
      <w:tr w:rsidR="00FC764A" w:rsidRPr="00675173" w14:paraId="7BE7BC5C" w14:textId="77777777" w:rsidTr="00675173">
        <w:trPr>
          <w:trHeight w:val="454"/>
        </w:trPr>
        <w:tc>
          <w:tcPr>
            <w:tcW w:w="1313" w:type="dxa"/>
            <w:noWrap/>
            <w:vAlign w:val="center"/>
          </w:tcPr>
          <w:p w14:paraId="3F3FAF4D" w14:textId="77777777" w:rsidR="00FC764A" w:rsidRPr="00675173" w:rsidRDefault="00FC764A" w:rsidP="004C3534">
            <w:pPr>
              <w:spacing w:line="276" w:lineRule="auto"/>
              <w:jc w:val="center"/>
              <w:rPr>
                <w:rFonts w:ascii="Arial" w:eastAsia="Times New Roman" w:hAnsi="Arial" w:cs="Arial"/>
                <w:color w:val="000000"/>
                <w:sz w:val="21"/>
              </w:rPr>
            </w:pPr>
          </w:p>
        </w:tc>
        <w:tc>
          <w:tcPr>
            <w:tcW w:w="1943" w:type="dxa"/>
            <w:noWrap/>
            <w:vAlign w:val="center"/>
          </w:tcPr>
          <w:p w14:paraId="0934E223" w14:textId="77777777" w:rsidR="00FC764A" w:rsidRPr="00675173" w:rsidRDefault="00FC764A" w:rsidP="004C3534">
            <w:pPr>
              <w:spacing w:line="276" w:lineRule="auto"/>
              <w:jc w:val="center"/>
              <w:rPr>
                <w:rFonts w:ascii="Arial" w:eastAsia="Times New Roman" w:hAnsi="Arial" w:cs="Arial"/>
                <w:sz w:val="21"/>
                <w:szCs w:val="20"/>
              </w:rPr>
            </w:pPr>
          </w:p>
        </w:tc>
        <w:tc>
          <w:tcPr>
            <w:tcW w:w="6100" w:type="dxa"/>
            <w:gridSpan w:val="6"/>
            <w:noWrap/>
            <w:vAlign w:val="center"/>
          </w:tcPr>
          <w:p w14:paraId="4CD3FEEE"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Calibri" w:hAnsi="Arial" w:cs="Arial"/>
                <w:color w:val="000000"/>
                <w:sz w:val="21"/>
              </w:rPr>
              <w:t>Concentration</w:t>
            </w:r>
            <w:r w:rsidRPr="00675173">
              <w:rPr>
                <w:rFonts w:ascii="Arial" w:eastAsia="Times New Roman" w:hAnsi="Arial" w:cs="Arial"/>
                <w:color w:val="000000"/>
                <w:sz w:val="21"/>
              </w:rPr>
              <w:t xml:space="preserve"> </w:t>
            </w:r>
            <w:r w:rsidRPr="00675173">
              <w:rPr>
                <w:rFonts w:ascii="Arial" w:eastAsia="Calibri" w:hAnsi="Arial" w:cs="Arial"/>
                <w:color w:val="000000"/>
                <w:sz w:val="21"/>
              </w:rPr>
              <w:t>of</w:t>
            </w:r>
            <w:r w:rsidRPr="00675173">
              <w:rPr>
                <w:rFonts w:ascii="Arial" w:eastAsia="Times New Roman" w:hAnsi="Arial" w:cs="Arial"/>
                <w:color w:val="000000"/>
                <w:sz w:val="21"/>
              </w:rPr>
              <w:t xml:space="preserve"> </w:t>
            </w:r>
            <w:r w:rsidRPr="00675173">
              <w:rPr>
                <w:rFonts w:ascii="Arial" w:eastAsia="Calibri" w:hAnsi="Arial" w:cs="Arial"/>
                <w:color w:val="000000"/>
                <w:sz w:val="21"/>
              </w:rPr>
              <w:t>tubocurarine</w:t>
            </w:r>
            <w:r w:rsidRPr="00675173">
              <w:rPr>
                <w:rFonts w:ascii="Arial" w:eastAsia="Times New Roman" w:hAnsi="Arial" w:cs="Arial"/>
                <w:color w:val="000000"/>
                <w:sz w:val="21"/>
              </w:rPr>
              <w:t xml:space="preserve"> </w:t>
            </w:r>
            <w:r w:rsidRPr="00675173">
              <w:rPr>
                <w:rFonts w:ascii="Arial" w:eastAsia="Calibri" w:hAnsi="Arial" w:cs="Arial"/>
                <w:color w:val="000000"/>
                <w:sz w:val="21"/>
              </w:rPr>
              <w:t>added (M)</w:t>
            </w:r>
          </w:p>
        </w:tc>
      </w:tr>
      <w:tr w:rsidR="00FC764A" w:rsidRPr="00675173" w14:paraId="50C643EC" w14:textId="77777777" w:rsidTr="00675173">
        <w:trPr>
          <w:trHeight w:val="454"/>
        </w:trPr>
        <w:tc>
          <w:tcPr>
            <w:tcW w:w="1313" w:type="dxa"/>
            <w:noWrap/>
            <w:vAlign w:val="center"/>
            <w:hideMark/>
          </w:tcPr>
          <w:p w14:paraId="043215B4" w14:textId="77777777" w:rsidR="00FC764A" w:rsidRPr="00675173" w:rsidRDefault="00FC764A" w:rsidP="004C3534">
            <w:pPr>
              <w:spacing w:line="276" w:lineRule="auto"/>
              <w:jc w:val="center"/>
              <w:rPr>
                <w:rFonts w:ascii="Arial" w:eastAsia="Times New Roman" w:hAnsi="Arial" w:cs="Arial"/>
                <w:color w:val="000000"/>
                <w:sz w:val="21"/>
              </w:rPr>
            </w:pPr>
          </w:p>
        </w:tc>
        <w:tc>
          <w:tcPr>
            <w:tcW w:w="1943" w:type="dxa"/>
            <w:noWrap/>
            <w:vAlign w:val="center"/>
            <w:hideMark/>
          </w:tcPr>
          <w:p w14:paraId="10774CAC" w14:textId="77777777" w:rsidR="00FC764A" w:rsidRPr="00675173" w:rsidRDefault="00FC764A" w:rsidP="004C3534">
            <w:pPr>
              <w:spacing w:line="276" w:lineRule="auto"/>
              <w:jc w:val="center"/>
              <w:rPr>
                <w:rFonts w:ascii="Arial" w:eastAsia="Times New Roman" w:hAnsi="Arial" w:cs="Arial"/>
                <w:sz w:val="21"/>
                <w:szCs w:val="20"/>
              </w:rPr>
            </w:pPr>
          </w:p>
        </w:tc>
        <w:tc>
          <w:tcPr>
            <w:tcW w:w="1013" w:type="dxa"/>
            <w:noWrap/>
            <w:vAlign w:val="center"/>
            <w:hideMark/>
          </w:tcPr>
          <w:p w14:paraId="4BC51164"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0</w:t>
            </w:r>
          </w:p>
        </w:tc>
        <w:tc>
          <w:tcPr>
            <w:tcW w:w="1020" w:type="dxa"/>
            <w:noWrap/>
            <w:vAlign w:val="center"/>
            <w:hideMark/>
          </w:tcPr>
          <w:p w14:paraId="6238F7ED"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1</w:t>
            </w:r>
            <w:r w:rsidRPr="00675173">
              <w:rPr>
                <w:rFonts w:ascii="Arial" w:eastAsia="Calibri" w:hAnsi="Arial" w:cs="Arial"/>
                <w:color w:val="000000"/>
                <w:sz w:val="21"/>
              </w:rPr>
              <w:t>0</w:t>
            </w:r>
            <w:r w:rsidRPr="00675173">
              <w:rPr>
                <w:rFonts w:ascii="Arial" w:eastAsia="Times New Roman" w:hAnsi="Arial" w:cs="Arial"/>
                <w:color w:val="000000"/>
                <w:sz w:val="21"/>
                <w:vertAlign w:val="superscript"/>
              </w:rPr>
              <w:t>-9</w:t>
            </w:r>
          </w:p>
        </w:tc>
        <w:tc>
          <w:tcPr>
            <w:tcW w:w="1020" w:type="dxa"/>
            <w:noWrap/>
            <w:vAlign w:val="center"/>
            <w:hideMark/>
          </w:tcPr>
          <w:p w14:paraId="3E8C2DB1"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1</w:t>
            </w:r>
            <w:r w:rsidRPr="00675173">
              <w:rPr>
                <w:rFonts w:ascii="Arial" w:eastAsia="Calibri" w:hAnsi="Arial" w:cs="Arial"/>
                <w:color w:val="000000"/>
                <w:sz w:val="21"/>
              </w:rPr>
              <w:t>0</w:t>
            </w:r>
            <w:r w:rsidRPr="00675173">
              <w:rPr>
                <w:rFonts w:ascii="Arial" w:eastAsia="Times New Roman" w:hAnsi="Arial" w:cs="Arial"/>
                <w:color w:val="000000"/>
                <w:sz w:val="21"/>
                <w:vertAlign w:val="superscript"/>
              </w:rPr>
              <w:t>-8</w:t>
            </w:r>
          </w:p>
        </w:tc>
        <w:tc>
          <w:tcPr>
            <w:tcW w:w="1020" w:type="dxa"/>
            <w:noWrap/>
            <w:vAlign w:val="center"/>
            <w:hideMark/>
          </w:tcPr>
          <w:p w14:paraId="22C1BD0A"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1</w:t>
            </w:r>
            <w:r w:rsidRPr="00675173">
              <w:rPr>
                <w:rFonts w:ascii="Arial" w:eastAsia="Calibri" w:hAnsi="Arial" w:cs="Arial"/>
                <w:color w:val="000000"/>
                <w:sz w:val="21"/>
              </w:rPr>
              <w:t>0</w:t>
            </w:r>
            <w:r w:rsidRPr="00675173">
              <w:rPr>
                <w:rFonts w:ascii="Arial" w:eastAsia="Times New Roman" w:hAnsi="Arial" w:cs="Arial"/>
                <w:color w:val="000000"/>
                <w:sz w:val="21"/>
                <w:vertAlign w:val="superscript"/>
              </w:rPr>
              <w:t>-7</w:t>
            </w:r>
          </w:p>
        </w:tc>
        <w:tc>
          <w:tcPr>
            <w:tcW w:w="1020" w:type="dxa"/>
            <w:noWrap/>
            <w:vAlign w:val="center"/>
            <w:hideMark/>
          </w:tcPr>
          <w:p w14:paraId="7D7DE506"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1</w:t>
            </w:r>
            <w:r w:rsidRPr="00675173">
              <w:rPr>
                <w:rFonts w:ascii="Arial" w:eastAsia="Calibri" w:hAnsi="Arial" w:cs="Arial"/>
                <w:color w:val="000000"/>
                <w:sz w:val="21"/>
              </w:rPr>
              <w:t>0</w:t>
            </w:r>
            <w:r w:rsidRPr="00675173">
              <w:rPr>
                <w:rFonts w:ascii="Arial" w:eastAsia="Times New Roman" w:hAnsi="Arial" w:cs="Arial"/>
                <w:color w:val="000000"/>
                <w:sz w:val="21"/>
                <w:vertAlign w:val="superscript"/>
              </w:rPr>
              <w:t>-6</w:t>
            </w:r>
          </w:p>
        </w:tc>
        <w:tc>
          <w:tcPr>
            <w:tcW w:w="1007" w:type="dxa"/>
            <w:noWrap/>
            <w:vAlign w:val="center"/>
            <w:hideMark/>
          </w:tcPr>
          <w:p w14:paraId="61C80074"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1</w:t>
            </w:r>
            <w:r w:rsidRPr="00675173">
              <w:rPr>
                <w:rFonts w:ascii="Arial" w:eastAsia="Calibri" w:hAnsi="Arial" w:cs="Arial"/>
                <w:color w:val="000000"/>
                <w:sz w:val="21"/>
              </w:rPr>
              <w:t>0</w:t>
            </w:r>
            <w:r w:rsidRPr="00675173">
              <w:rPr>
                <w:rFonts w:ascii="Arial" w:eastAsia="Times New Roman" w:hAnsi="Arial" w:cs="Arial"/>
                <w:color w:val="000000"/>
                <w:sz w:val="21"/>
                <w:vertAlign w:val="superscript"/>
              </w:rPr>
              <w:t>-4</w:t>
            </w:r>
          </w:p>
        </w:tc>
      </w:tr>
      <w:tr w:rsidR="00FC764A" w:rsidRPr="00675173" w14:paraId="2F5ED684" w14:textId="77777777" w:rsidTr="00675173">
        <w:trPr>
          <w:trHeight w:val="454"/>
        </w:trPr>
        <w:tc>
          <w:tcPr>
            <w:tcW w:w="1313" w:type="dxa"/>
            <w:vMerge w:val="restart"/>
            <w:noWrap/>
            <w:vAlign w:val="center"/>
            <w:hideMark/>
          </w:tcPr>
          <w:p w14:paraId="61289025"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Calibri" w:hAnsi="Arial" w:cs="Arial"/>
                <w:color w:val="000000"/>
                <w:sz w:val="21"/>
              </w:rPr>
              <w:t>Force exerted</w:t>
            </w:r>
            <w:r w:rsidRPr="00675173">
              <w:rPr>
                <w:rFonts w:ascii="Arial" w:eastAsia="Times New Roman" w:hAnsi="Arial" w:cs="Arial"/>
                <w:color w:val="000000"/>
                <w:sz w:val="21"/>
              </w:rPr>
              <w:t xml:space="preserve"> </w:t>
            </w:r>
            <w:r w:rsidRPr="00675173">
              <w:rPr>
                <w:rFonts w:ascii="Arial" w:eastAsia="Calibri" w:hAnsi="Arial" w:cs="Arial"/>
                <w:color w:val="000000"/>
                <w:sz w:val="21"/>
              </w:rPr>
              <w:t>under</w:t>
            </w:r>
            <w:r w:rsidRPr="00675173">
              <w:rPr>
                <w:rFonts w:ascii="Arial" w:eastAsia="Times New Roman" w:hAnsi="Arial" w:cs="Arial"/>
                <w:color w:val="000000"/>
                <w:sz w:val="21"/>
              </w:rPr>
              <w:t xml:space="preserve"> </w:t>
            </w:r>
            <w:r w:rsidRPr="00675173">
              <w:rPr>
                <w:rFonts w:ascii="Arial" w:eastAsia="Calibri" w:hAnsi="Arial" w:cs="Arial"/>
                <w:color w:val="000000"/>
                <w:sz w:val="21"/>
              </w:rPr>
              <w:t>neurogenic</w:t>
            </w:r>
            <w:r w:rsidRPr="00675173">
              <w:rPr>
                <w:rFonts w:ascii="Arial" w:eastAsia="Times New Roman" w:hAnsi="Arial" w:cs="Arial"/>
                <w:color w:val="000000"/>
                <w:sz w:val="21"/>
              </w:rPr>
              <w:t xml:space="preserve"> </w:t>
            </w:r>
            <w:r w:rsidRPr="00675173">
              <w:rPr>
                <w:rFonts w:ascii="Arial" w:eastAsia="Calibri" w:hAnsi="Arial" w:cs="Arial"/>
                <w:color w:val="000000"/>
                <w:sz w:val="21"/>
              </w:rPr>
              <w:t>stimulation</w:t>
            </w:r>
            <w:r w:rsidRPr="00675173">
              <w:rPr>
                <w:rFonts w:ascii="Arial" w:eastAsia="Times New Roman" w:hAnsi="Arial" w:cs="Arial"/>
                <w:color w:val="000000"/>
                <w:sz w:val="21"/>
              </w:rPr>
              <w:t xml:space="preserve"> (</w:t>
            </w:r>
            <w:r w:rsidRPr="00675173">
              <w:rPr>
                <w:rFonts w:ascii="Arial" w:eastAsia="Calibri" w:hAnsi="Arial" w:cs="Arial"/>
                <w:color w:val="000000"/>
                <w:sz w:val="21"/>
              </w:rPr>
              <w:t>mN</w:t>
            </w:r>
            <w:r w:rsidRPr="00675173">
              <w:rPr>
                <w:rFonts w:ascii="Arial" w:eastAsia="Times New Roman" w:hAnsi="Arial" w:cs="Arial"/>
                <w:color w:val="000000"/>
                <w:sz w:val="21"/>
              </w:rPr>
              <w:t>)</w:t>
            </w:r>
          </w:p>
        </w:tc>
        <w:tc>
          <w:tcPr>
            <w:tcW w:w="1943" w:type="dxa"/>
            <w:noWrap/>
            <w:vAlign w:val="center"/>
            <w:hideMark/>
          </w:tcPr>
          <w:p w14:paraId="6C2ECC5B"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Calibri" w:hAnsi="Arial" w:cs="Arial"/>
                <w:color w:val="000000"/>
                <w:sz w:val="21"/>
              </w:rPr>
              <w:t>Trial</w:t>
            </w:r>
            <w:r w:rsidRPr="00675173">
              <w:rPr>
                <w:rFonts w:ascii="Arial" w:eastAsia="Times New Roman" w:hAnsi="Arial" w:cs="Arial"/>
                <w:color w:val="000000"/>
                <w:sz w:val="21"/>
              </w:rPr>
              <w:t xml:space="preserve"> 1</w:t>
            </w:r>
          </w:p>
        </w:tc>
        <w:tc>
          <w:tcPr>
            <w:tcW w:w="1013" w:type="dxa"/>
            <w:noWrap/>
            <w:vAlign w:val="center"/>
            <w:hideMark/>
          </w:tcPr>
          <w:p w14:paraId="5A62B4FF"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66.47</w:t>
            </w:r>
          </w:p>
        </w:tc>
        <w:tc>
          <w:tcPr>
            <w:tcW w:w="1020" w:type="dxa"/>
            <w:noWrap/>
            <w:vAlign w:val="center"/>
            <w:hideMark/>
          </w:tcPr>
          <w:p w14:paraId="17C670E2"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56.58</w:t>
            </w:r>
          </w:p>
        </w:tc>
        <w:tc>
          <w:tcPr>
            <w:tcW w:w="1020" w:type="dxa"/>
            <w:noWrap/>
            <w:vAlign w:val="center"/>
            <w:hideMark/>
          </w:tcPr>
          <w:p w14:paraId="32E54433"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58.81</w:t>
            </w:r>
          </w:p>
        </w:tc>
        <w:tc>
          <w:tcPr>
            <w:tcW w:w="1020" w:type="dxa"/>
            <w:noWrap/>
            <w:vAlign w:val="center"/>
            <w:hideMark/>
          </w:tcPr>
          <w:p w14:paraId="207637EA"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44.23</w:t>
            </w:r>
          </w:p>
        </w:tc>
        <w:tc>
          <w:tcPr>
            <w:tcW w:w="1020" w:type="dxa"/>
            <w:noWrap/>
            <w:vAlign w:val="center"/>
            <w:hideMark/>
          </w:tcPr>
          <w:p w14:paraId="724BC83F"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43.49</w:t>
            </w:r>
          </w:p>
        </w:tc>
        <w:tc>
          <w:tcPr>
            <w:tcW w:w="1007" w:type="dxa"/>
            <w:noWrap/>
            <w:vAlign w:val="center"/>
            <w:hideMark/>
          </w:tcPr>
          <w:p w14:paraId="604E1A96"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37.06</w:t>
            </w:r>
          </w:p>
        </w:tc>
      </w:tr>
      <w:tr w:rsidR="00FC764A" w:rsidRPr="00675173" w14:paraId="0FA18B05" w14:textId="77777777" w:rsidTr="00675173">
        <w:trPr>
          <w:trHeight w:val="454"/>
        </w:trPr>
        <w:tc>
          <w:tcPr>
            <w:tcW w:w="1313" w:type="dxa"/>
            <w:vMerge/>
            <w:vAlign w:val="center"/>
            <w:hideMark/>
          </w:tcPr>
          <w:p w14:paraId="6458609D" w14:textId="77777777" w:rsidR="00FC764A" w:rsidRPr="00675173" w:rsidRDefault="00FC764A" w:rsidP="004C3534">
            <w:pPr>
              <w:spacing w:line="276" w:lineRule="auto"/>
              <w:jc w:val="center"/>
              <w:rPr>
                <w:rFonts w:ascii="Arial" w:eastAsia="Times New Roman" w:hAnsi="Arial" w:cs="Arial"/>
                <w:color w:val="000000"/>
                <w:sz w:val="21"/>
              </w:rPr>
            </w:pPr>
          </w:p>
        </w:tc>
        <w:tc>
          <w:tcPr>
            <w:tcW w:w="1943" w:type="dxa"/>
            <w:noWrap/>
            <w:vAlign w:val="center"/>
            <w:hideMark/>
          </w:tcPr>
          <w:p w14:paraId="2D7F5EFF"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Calibri" w:hAnsi="Arial" w:cs="Arial"/>
                <w:color w:val="000000"/>
                <w:sz w:val="21"/>
              </w:rPr>
              <w:t>Trial</w:t>
            </w:r>
            <w:r w:rsidRPr="00675173">
              <w:rPr>
                <w:rFonts w:ascii="Arial" w:eastAsia="Times New Roman" w:hAnsi="Arial" w:cs="Arial"/>
                <w:color w:val="000000"/>
                <w:sz w:val="21"/>
              </w:rPr>
              <w:t xml:space="preserve"> 2</w:t>
            </w:r>
          </w:p>
        </w:tc>
        <w:tc>
          <w:tcPr>
            <w:tcW w:w="1013" w:type="dxa"/>
            <w:noWrap/>
            <w:vAlign w:val="center"/>
            <w:hideMark/>
          </w:tcPr>
          <w:p w14:paraId="0A6C2F10"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66.22</w:t>
            </w:r>
          </w:p>
        </w:tc>
        <w:tc>
          <w:tcPr>
            <w:tcW w:w="1020" w:type="dxa"/>
            <w:noWrap/>
            <w:vAlign w:val="center"/>
            <w:hideMark/>
          </w:tcPr>
          <w:p w14:paraId="735624CB"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63.01</w:t>
            </w:r>
          </w:p>
        </w:tc>
        <w:tc>
          <w:tcPr>
            <w:tcW w:w="1020" w:type="dxa"/>
            <w:noWrap/>
            <w:vAlign w:val="center"/>
            <w:hideMark/>
          </w:tcPr>
          <w:p w14:paraId="4ACE717D"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63.75</w:t>
            </w:r>
          </w:p>
        </w:tc>
        <w:tc>
          <w:tcPr>
            <w:tcW w:w="1020" w:type="dxa"/>
            <w:noWrap/>
            <w:vAlign w:val="center"/>
            <w:hideMark/>
          </w:tcPr>
          <w:p w14:paraId="6CE4980E"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49.66</w:t>
            </w:r>
          </w:p>
        </w:tc>
        <w:tc>
          <w:tcPr>
            <w:tcW w:w="1020" w:type="dxa"/>
            <w:noWrap/>
            <w:vAlign w:val="center"/>
            <w:hideMark/>
          </w:tcPr>
          <w:p w14:paraId="18AA5483"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42.75</w:t>
            </w:r>
          </w:p>
        </w:tc>
        <w:tc>
          <w:tcPr>
            <w:tcW w:w="1007" w:type="dxa"/>
            <w:noWrap/>
            <w:vAlign w:val="center"/>
            <w:hideMark/>
          </w:tcPr>
          <w:p w14:paraId="5978F024"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37.31</w:t>
            </w:r>
          </w:p>
        </w:tc>
      </w:tr>
      <w:tr w:rsidR="00FC764A" w:rsidRPr="00675173" w14:paraId="781E8BD9" w14:textId="77777777" w:rsidTr="00675173">
        <w:trPr>
          <w:trHeight w:val="454"/>
        </w:trPr>
        <w:tc>
          <w:tcPr>
            <w:tcW w:w="1313" w:type="dxa"/>
            <w:vMerge/>
            <w:vAlign w:val="center"/>
            <w:hideMark/>
          </w:tcPr>
          <w:p w14:paraId="435EEE8C" w14:textId="77777777" w:rsidR="00FC764A" w:rsidRPr="00675173" w:rsidRDefault="00FC764A" w:rsidP="004C3534">
            <w:pPr>
              <w:spacing w:line="276" w:lineRule="auto"/>
              <w:jc w:val="center"/>
              <w:rPr>
                <w:rFonts w:ascii="Arial" w:eastAsia="Times New Roman" w:hAnsi="Arial" w:cs="Arial"/>
                <w:color w:val="000000"/>
                <w:sz w:val="21"/>
              </w:rPr>
            </w:pPr>
          </w:p>
        </w:tc>
        <w:tc>
          <w:tcPr>
            <w:tcW w:w="1943" w:type="dxa"/>
            <w:noWrap/>
            <w:vAlign w:val="center"/>
            <w:hideMark/>
          </w:tcPr>
          <w:p w14:paraId="2BF23F63"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Calibri" w:hAnsi="Arial" w:cs="Arial"/>
                <w:color w:val="000000"/>
                <w:sz w:val="21"/>
              </w:rPr>
              <w:t>Trial</w:t>
            </w:r>
            <w:r w:rsidRPr="00675173">
              <w:rPr>
                <w:rFonts w:ascii="Arial" w:eastAsia="Times New Roman" w:hAnsi="Arial" w:cs="Arial"/>
                <w:color w:val="000000"/>
                <w:sz w:val="21"/>
              </w:rPr>
              <w:t xml:space="preserve"> 3</w:t>
            </w:r>
          </w:p>
        </w:tc>
        <w:tc>
          <w:tcPr>
            <w:tcW w:w="1013" w:type="dxa"/>
            <w:noWrap/>
            <w:vAlign w:val="center"/>
            <w:hideMark/>
          </w:tcPr>
          <w:p w14:paraId="07767A3B"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69.19</w:t>
            </w:r>
          </w:p>
        </w:tc>
        <w:tc>
          <w:tcPr>
            <w:tcW w:w="1020" w:type="dxa"/>
            <w:noWrap/>
            <w:vAlign w:val="center"/>
            <w:hideMark/>
          </w:tcPr>
          <w:p w14:paraId="673BE4ED"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63.01</w:t>
            </w:r>
          </w:p>
        </w:tc>
        <w:tc>
          <w:tcPr>
            <w:tcW w:w="1020" w:type="dxa"/>
            <w:noWrap/>
            <w:vAlign w:val="center"/>
            <w:hideMark/>
          </w:tcPr>
          <w:p w14:paraId="7FCA3A7A"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63.01</w:t>
            </w:r>
          </w:p>
        </w:tc>
        <w:tc>
          <w:tcPr>
            <w:tcW w:w="1020" w:type="dxa"/>
            <w:noWrap/>
            <w:vAlign w:val="center"/>
            <w:hideMark/>
          </w:tcPr>
          <w:p w14:paraId="0C32471F"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50.66</w:t>
            </w:r>
          </w:p>
        </w:tc>
        <w:tc>
          <w:tcPr>
            <w:tcW w:w="1020" w:type="dxa"/>
            <w:noWrap/>
            <w:vAlign w:val="center"/>
            <w:hideMark/>
          </w:tcPr>
          <w:p w14:paraId="7FDF19D8"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41.76</w:t>
            </w:r>
          </w:p>
        </w:tc>
        <w:tc>
          <w:tcPr>
            <w:tcW w:w="1007" w:type="dxa"/>
            <w:noWrap/>
            <w:vAlign w:val="center"/>
            <w:hideMark/>
          </w:tcPr>
          <w:p w14:paraId="2CEF6C68"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36.82</w:t>
            </w:r>
          </w:p>
        </w:tc>
      </w:tr>
      <w:tr w:rsidR="00FC764A" w:rsidRPr="00675173" w14:paraId="3B283996" w14:textId="77777777" w:rsidTr="00675173">
        <w:trPr>
          <w:trHeight w:val="454"/>
        </w:trPr>
        <w:tc>
          <w:tcPr>
            <w:tcW w:w="1313" w:type="dxa"/>
            <w:vMerge/>
            <w:vAlign w:val="center"/>
            <w:hideMark/>
          </w:tcPr>
          <w:p w14:paraId="46E7FB45" w14:textId="77777777" w:rsidR="00FC764A" w:rsidRPr="00675173" w:rsidRDefault="00FC764A" w:rsidP="004C3534">
            <w:pPr>
              <w:spacing w:line="276" w:lineRule="auto"/>
              <w:jc w:val="center"/>
              <w:rPr>
                <w:rFonts w:ascii="Arial" w:eastAsia="Times New Roman" w:hAnsi="Arial" w:cs="Arial"/>
                <w:color w:val="000000"/>
                <w:sz w:val="21"/>
              </w:rPr>
            </w:pPr>
          </w:p>
        </w:tc>
        <w:tc>
          <w:tcPr>
            <w:tcW w:w="1943" w:type="dxa"/>
            <w:noWrap/>
            <w:vAlign w:val="center"/>
            <w:hideMark/>
          </w:tcPr>
          <w:p w14:paraId="4C9F4E39"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Calibri" w:hAnsi="Arial" w:cs="Arial"/>
                <w:color w:val="000000"/>
                <w:sz w:val="21"/>
              </w:rPr>
              <w:t>Average</w:t>
            </w:r>
            <w:r w:rsidRPr="00675173">
              <w:rPr>
                <w:rFonts w:ascii="Arial" w:eastAsia="Times New Roman" w:hAnsi="Arial" w:cs="Arial"/>
                <w:color w:val="000000"/>
                <w:sz w:val="21"/>
              </w:rPr>
              <w:t xml:space="preserve"> (</w:t>
            </w:r>
            <w:r w:rsidRPr="00675173">
              <w:rPr>
                <w:rFonts w:ascii="Arial" w:eastAsia="Calibri" w:hAnsi="Arial" w:cs="Arial"/>
                <w:color w:val="000000"/>
                <w:sz w:val="21"/>
              </w:rPr>
              <w:t>mN</w:t>
            </w:r>
            <w:r w:rsidRPr="00675173">
              <w:rPr>
                <w:rFonts w:ascii="Arial" w:eastAsia="Times New Roman" w:hAnsi="Arial" w:cs="Arial"/>
                <w:color w:val="000000"/>
                <w:sz w:val="21"/>
              </w:rPr>
              <w:t>)</w:t>
            </w:r>
          </w:p>
        </w:tc>
        <w:tc>
          <w:tcPr>
            <w:tcW w:w="1013" w:type="dxa"/>
            <w:noWrap/>
            <w:vAlign w:val="center"/>
            <w:hideMark/>
          </w:tcPr>
          <w:p w14:paraId="1688B77A"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67.29</w:t>
            </w:r>
          </w:p>
        </w:tc>
        <w:tc>
          <w:tcPr>
            <w:tcW w:w="1020" w:type="dxa"/>
            <w:noWrap/>
            <w:vAlign w:val="center"/>
            <w:hideMark/>
          </w:tcPr>
          <w:p w14:paraId="15F383D6"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60.87</w:t>
            </w:r>
          </w:p>
        </w:tc>
        <w:tc>
          <w:tcPr>
            <w:tcW w:w="1020" w:type="dxa"/>
            <w:noWrap/>
            <w:vAlign w:val="center"/>
            <w:hideMark/>
          </w:tcPr>
          <w:p w14:paraId="3A156B47"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61.86</w:t>
            </w:r>
          </w:p>
        </w:tc>
        <w:tc>
          <w:tcPr>
            <w:tcW w:w="1020" w:type="dxa"/>
            <w:noWrap/>
            <w:vAlign w:val="center"/>
            <w:hideMark/>
          </w:tcPr>
          <w:p w14:paraId="62C16805"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48.18</w:t>
            </w:r>
          </w:p>
        </w:tc>
        <w:tc>
          <w:tcPr>
            <w:tcW w:w="1020" w:type="dxa"/>
            <w:noWrap/>
            <w:vAlign w:val="center"/>
            <w:hideMark/>
          </w:tcPr>
          <w:p w14:paraId="30C070DE"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42.67</w:t>
            </w:r>
          </w:p>
        </w:tc>
        <w:tc>
          <w:tcPr>
            <w:tcW w:w="1007" w:type="dxa"/>
            <w:noWrap/>
            <w:vAlign w:val="center"/>
            <w:hideMark/>
          </w:tcPr>
          <w:p w14:paraId="61B6C173" w14:textId="77777777" w:rsidR="00FC764A" w:rsidRPr="00675173" w:rsidRDefault="00FC764A" w:rsidP="004C3534">
            <w:pPr>
              <w:spacing w:line="276" w:lineRule="auto"/>
              <w:jc w:val="center"/>
              <w:rPr>
                <w:rFonts w:ascii="Arial" w:eastAsia="Times New Roman" w:hAnsi="Arial" w:cs="Arial"/>
                <w:color w:val="000000"/>
                <w:sz w:val="21"/>
              </w:rPr>
            </w:pPr>
            <w:r w:rsidRPr="00675173">
              <w:rPr>
                <w:rFonts w:ascii="Arial" w:eastAsia="Times New Roman" w:hAnsi="Arial" w:cs="Arial"/>
                <w:color w:val="000000"/>
                <w:sz w:val="21"/>
              </w:rPr>
              <w:t>37.06</w:t>
            </w:r>
          </w:p>
        </w:tc>
      </w:tr>
    </w:tbl>
    <w:p w14:paraId="7C78CFAD" w14:textId="77777777" w:rsidR="005F37D7" w:rsidRPr="005F37D7" w:rsidRDefault="005F37D7" w:rsidP="005F37D7">
      <w:pPr>
        <w:spacing w:line="480" w:lineRule="auto"/>
        <w:rPr>
          <w:rFonts w:ascii="Times New Roman" w:eastAsia="Times New Roman" w:hAnsi="Times New Roman" w:cs="Times New Roman"/>
        </w:rPr>
      </w:pPr>
    </w:p>
    <w:p w14:paraId="41C4085F" w14:textId="1B64C3FF" w:rsidR="005F37D7" w:rsidRPr="005F37D7" w:rsidRDefault="005F37D7" w:rsidP="009A2C23">
      <w:pPr>
        <w:spacing w:after="120" w:line="480" w:lineRule="auto"/>
        <w:ind w:firstLine="720"/>
        <w:rPr>
          <w:rFonts w:ascii="Times New Roman" w:hAnsi="Times New Roman" w:cs="Times New Roman"/>
        </w:rPr>
      </w:pPr>
      <w:r w:rsidRPr="005F37D7">
        <w:rPr>
          <w:rFonts w:ascii="Arial" w:hAnsi="Arial" w:cs="Arial"/>
          <w:color w:val="000000"/>
        </w:rPr>
        <w:t xml:space="preserve">Three trials </w:t>
      </w:r>
      <w:r w:rsidR="007473B0">
        <w:rPr>
          <w:rFonts w:ascii="Arial" w:hAnsi="Arial" w:cs="Arial"/>
          <w:color w:val="000000"/>
        </w:rPr>
        <w:t xml:space="preserve">were conducted </w:t>
      </w:r>
      <w:r w:rsidRPr="005F37D7">
        <w:rPr>
          <w:rFonts w:ascii="Arial" w:hAnsi="Arial" w:cs="Arial"/>
          <w:color w:val="000000"/>
        </w:rPr>
        <w:t>to determine the muscle response</w:t>
      </w:r>
      <w:r w:rsidR="007473B0">
        <w:rPr>
          <w:rFonts w:ascii="Arial" w:hAnsi="Arial" w:cs="Arial"/>
          <w:color w:val="000000"/>
        </w:rPr>
        <w:t xml:space="preserve"> (by the force exerted) under neurogenic stimulation</w:t>
      </w:r>
      <w:r w:rsidRPr="005F37D7">
        <w:rPr>
          <w:rFonts w:ascii="Arial" w:hAnsi="Arial" w:cs="Arial"/>
          <w:color w:val="000000"/>
        </w:rPr>
        <w:t xml:space="preserve"> for each concentration of tubocurarine added to the tissue bath. This started with a control of Ringer’s solution</w:t>
      </w:r>
      <w:r w:rsidR="0026732E">
        <w:rPr>
          <w:rFonts w:ascii="Arial" w:hAnsi="Arial" w:cs="Arial"/>
          <w:color w:val="000000"/>
        </w:rPr>
        <w:t xml:space="preserve"> (0M tubocurarine)</w:t>
      </w:r>
      <w:r w:rsidRPr="005F37D7">
        <w:rPr>
          <w:rFonts w:ascii="Arial" w:hAnsi="Arial" w:cs="Arial"/>
          <w:color w:val="000000"/>
        </w:rPr>
        <w:t>, and then increasing concentrations from 1</w:t>
      </w:r>
      <w:r w:rsidR="007473B0">
        <w:rPr>
          <w:rFonts w:ascii="Arial" w:hAnsi="Arial" w:cs="Arial"/>
          <w:color w:val="000000"/>
        </w:rPr>
        <w:t>0</w:t>
      </w:r>
      <w:r w:rsidR="007473B0">
        <w:rPr>
          <w:rFonts w:ascii="Arial" w:hAnsi="Arial" w:cs="Arial"/>
          <w:color w:val="000000"/>
          <w:vertAlign w:val="superscript"/>
        </w:rPr>
        <w:t>-9</w:t>
      </w:r>
      <w:r w:rsidRPr="005F37D7">
        <w:rPr>
          <w:rFonts w:ascii="Arial" w:hAnsi="Arial" w:cs="Arial"/>
          <w:color w:val="000000"/>
        </w:rPr>
        <w:t xml:space="preserve"> M tubocurarine. These trials were averaged to give the average force (mN) exerted by the muscle at 1.75V, </w:t>
      </w:r>
      <w:r w:rsidR="0026732E">
        <w:rPr>
          <w:rFonts w:ascii="Arial" w:hAnsi="Arial" w:cs="Arial"/>
          <w:color w:val="000000"/>
        </w:rPr>
        <w:t>the</w:t>
      </w:r>
      <w:r w:rsidRPr="005F37D7">
        <w:rPr>
          <w:rFonts w:ascii="Arial" w:hAnsi="Arial" w:cs="Arial"/>
          <w:color w:val="000000"/>
        </w:rPr>
        <w:t xml:space="preserve"> </w:t>
      </w:r>
      <w:r w:rsidR="0026732E">
        <w:rPr>
          <w:rFonts w:ascii="Arial" w:hAnsi="Arial" w:cs="Arial"/>
          <w:color w:val="000000"/>
        </w:rPr>
        <w:t xml:space="preserve">voltage that gave </w:t>
      </w:r>
      <w:r w:rsidR="00A1277A">
        <w:rPr>
          <w:rFonts w:ascii="Arial" w:hAnsi="Arial" w:cs="Arial"/>
          <w:color w:val="000000"/>
        </w:rPr>
        <w:t xml:space="preserve">maximal force </w:t>
      </w:r>
      <w:r w:rsidRPr="005F37D7">
        <w:rPr>
          <w:rFonts w:ascii="Arial" w:hAnsi="Arial" w:cs="Arial"/>
          <w:color w:val="000000"/>
        </w:rPr>
        <w:t xml:space="preserve">under neurogenic stimulation. The average force (mN) can be seen to decrease as the concentration of tubocurarine increases, and also in comparison to the 0 M control with Ringer's solution (Table 1). </w:t>
      </w:r>
    </w:p>
    <w:p w14:paraId="18820D57" w14:textId="19535315" w:rsidR="005F37D7" w:rsidRPr="005F37D7" w:rsidRDefault="005F37D7" w:rsidP="005F37D7">
      <w:pPr>
        <w:spacing w:after="120" w:line="480" w:lineRule="auto"/>
        <w:jc w:val="center"/>
        <w:rPr>
          <w:rFonts w:ascii="Times New Roman" w:hAnsi="Times New Roman" w:cs="Times New Roman"/>
        </w:rPr>
      </w:pPr>
      <w:r w:rsidRPr="005F37D7">
        <w:rPr>
          <w:rFonts w:ascii="Arial" w:hAnsi="Arial" w:cs="Arial"/>
          <w:b/>
          <w:bCs/>
          <w:noProof/>
          <w:color w:val="000000"/>
        </w:rPr>
        <w:drawing>
          <wp:inline distT="0" distB="0" distL="0" distR="0" wp14:anchorId="31B9848F" wp14:editId="595FC7B2">
            <wp:extent cx="4963699" cy="2508931"/>
            <wp:effectExtent l="0" t="0" r="0" b="5715"/>
            <wp:docPr id="6" name="Picture 6" descr="euroge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rogenic.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95945" cy="2525230"/>
                    </a:xfrm>
                    <a:prstGeom prst="rect">
                      <a:avLst/>
                    </a:prstGeom>
                    <a:noFill/>
                    <a:ln>
                      <a:noFill/>
                    </a:ln>
                  </pic:spPr>
                </pic:pic>
              </a:graphicData>
            </a:graphic>
          </wp:inline>
        </w:drawing>
      </w:r>
    </w:p>
    <w:p w14:paraId="50467A80" w14:textId="1BDFF927" w:rsidR="005F37D7" w:rsidRPr="00527182" w:rsidRDefault="00527182" w:rsidP="00527182">
      <w:pPr>
        <w:spacing w:after="120" w:line="276" w:lineRule="auto"/>
        <w:rPr>
          <w:rFonts w:ascii="Times New Roman" w:hAnsi="Times New Roman" w:cs="Times New Roman"/>
          <w:b/>
          <w:sz w:val="21"/>
        </w:rPr>
      </w:pPr>
      <w:r>
        <w:rPr>
          <w:rFonts w:ascii="Arial" w:hAnsi="Arial" w:cs="Arial"/>
          <w:b/>
          <w:i/>
          <w:iCs/>
          <w:color w:val="000000"/>
          <w:sz w:val="21"/>
        </w:rPr>
        <w:t>Figure 1.</w:t>
      </w:r>
      <w:r w:rsidR="005F37D7" w:rsidRPr="00527182">
        <w:rPr>
          <w:rFonts w:ascii="Arial" w:hAnsi="Arial" w:cs="Arial"/>
          <w:b/>
          <w:i/>
          <w:iCs/>
          <w:color w:val="000000"/>
          <w:sz w:val="21"/>
        </w:rPr>
        <w:t xml:space="preserve"> Average muscle response (mN) with SEM of the gastrocnemius toad preparation at 1.75V under neurogenic stimulation against increasing concentration of tubocurarine in the tissue bath. </w:t>
      </w:r>
    </w:p>
    <w:p w14:paraId="3AD66DAC" w14:textId="57000AA1" w:rsidR="005F37D7" w:rsidRPr="005F37D7" w:rsidRDefault="005F37D7" w:rsidP="009A2C23">
      <w:pPr>
        <w:spacing w:after="120" w:line="480" w:lineRule="auto"/>
        <w:ind w:firstLine="720"/>
        <w:rPr>
          <w:rFonts w:ascii="Times New Roman" w:hAnsi="Times New Roman" w:cs="Times New Roman"/>
        </w:rPr>
      </w:pPr>
      <w:r w:rsidRPr="005F37D7">
        <w:rPr>
          <w:rFonts w:ascii="Arial" w:hAnsi="Arial" w:cs="Arial"/>
          <w:color w:val="000000"/>
        </w:rPr>
        <w:t>A general trend is observed in Fig 1 that as the concentration of tubocurarine increases, the force exerted by the muscle under neurogenic stimulation at 1.75V decreases.</w:t>
      </w:r>
      <w:r w:rsidR="009A34EE">
        <w:rPr>
          <w:rFonts w:ascii="Arial" w:hAnsi="Arial" w:cs="Arial"/>
          <w:color w:val="000000"/>
        </w:rPr>
        <w:t xml:space="preserve"> The results have been shown in a column graph, for a scatter XY graph comparing Force exerted to log [tubocurarine] would not have been able to demonstrate the comparison with the control solution of 0M tubocurarine.</w:t>
      </w:r>
      <w:r w:rsidRPr="005F37D7">
        <w:rPr>
          <w:rFonts w:ascii="Arial" w:hAnsi="Arial" w:cs="Arial"/>
          <w:color w:val="000000"/>
        </w:rPr>
        <w:t xml:space="preserve"> Error bars with SEM have been included, and are very small, suggesting a small degree of variability across most trials for each concentration tested. </w:t>
      </w:r>
    </w:p>
    <w:p w14:paraId="4F3A2BE9" w14:textId="77777777" w:rsidR="005F37D7" w:rsidRPr="00AB5FCF" w:rsidRDefault="005F37D7" w:rsidP="00AB5FCF">
      <w:pPr>
        <w:spacing w:after="120"/>
        <w:rPr>
          <w:rFonts w:ascii="Times New Roman" w:hAnsi="Times New Roman" w:cs="Times New Roman"/>
          <w:b/>
          <w:sz w:val="21"/>
          <w:szCs w:val="20"/>
        </w:rPr>
      </w:pPr>
      <w:r w:rsidRPr="00AB5FCF">
        <w:rPr>
          <w:rFonts w:ascii="Arial" w:hAnsi="Arial" w:cs="Arial"/>
          <w:b/>
          <w:color w:val="000000"/>
          <w:sz w:val="21"/>
          <w:szCs w:val="20"/>
        </w:rPr>
        <w:t>Table 2: Muscle responses (mN) of the gastrocnemius toad preparation at 2.5V under myogenic stimulation when increasing concentrations of tubocurarine are added to the tissue bath</w:t>
      </w:r>
    </w:p>
    <w:tbl>
      <w:tblPr>
        <w:tblStyle w:val="TableGrid"/>
        <w:tblW w:w="8980" w:type="dxa"/>
        <w:tblLook w:val="04A0" w:firstRow="1" w:lastRow="0" w:firstColumn="1" w:lastColumn="0" w:noHBand="0" w:noVBand="1"/>
      </w:tblPr>
      <w:tblGrid>
        <w:gridCol w:w="1696"/>
        <w:gridCol w:w="1843"/>
        <w:gridCol w:w="1133"/>
        <w:gridCol w:w="1077"/>
        <w:gridCol w:w="1077"/>
        <w:gridCol w:w="1077"/>
        <w:gridCol w:w="1077"/>
      </w:tblGrid>
      <w:tr w:rsidR="00073B3B" w:rsidRPr="00AB5FCF" w14:paraId="1D713932" w14:textId="77777777" w:rsidTr="004C3534">
        <w:trPr>
          <w:trHeight w:val="454"/>
        </w:trPr>
        <w:tc>
          <w:tcPr>
            <w:tcW w:w="1696" w:type="dxa"/>
            <w:noWrap/>
            <w:vAlign w:val="center"/>
          </w:tcPr>
          <w:p w14:paraId="0C6DDC73" w14:textId="77777777" w:rsidR="00073B3B" w:rsidRPr="00AB5FCF" w:rsidRDefault="00073B3B" w:rsidP="004C3534">
            <w:pPr>
              <w:spacing w:line="276" w:lineRule="auto"/>
              <w:jc w:val="center"/>
              <w:rPr>
                <w:rFonts w:ascii="Arial" w:hAnsi="Arial" w:cs="Arial"/>
                <w:sz w:val="21"/>
                <w:szCs w:val="20"/>
              </w:rPr>
            </w:pPr>
          </w:p>
        </w:tc>
        <w:tc>
          <w:tcPr>
            <w:tcW w:w="1843" w:type="dxa"/>
            <w:noWrap/>
            <w:vAlign w:val="center"/>
          </w:tcPr>
          <w:p w14:paraId="6DAEE298" w14:textId="77777777" w:rsidR="00073B3B" w:rsidRPr="00AB5FCF" w:rsidRDefault="00073B3B" w:rsidP="004C3534">
            <w:pPr>
              <w:spacing w:line="276" w:lineRule="auto"/>
              <w:jc w:val="center"/>
              <w:rPr>
                <w:rFonts w:ascii="Arial" w:eastAsia="Times New Roman" w:hAnsi="Arial" w:cs="Arial"/>
                <w:sz w:val="21"/>
                <w:szCs w:val="20"/>
              </w:rPr>
            </w:pPr>
          </w:p>
        </w:tc>
        <w:tc>
          <w:tcPr>
            <w:tcW w:w="5441" w:type="dxa"/>
            <w:gridSpan w:val="5"/>
            <w:noWrap/>
            <w:vAlign w:val="center"/>
          </w:tcPr>
          <w:p w14:paraId="6937D19C"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Calibri" w:hAnsi="Arial" w:cs="Arial"/>
                <w:color w:val="000000"/>
                <w:sz w:val="21"/>
              </w:rPr>
              <w:t>Concentration</w:t>
            </w:r>
            <w:r w:rsidRPr="00AB5FCF">
              <w:rPr>
                <w:rFonts w:ascii="Arial" w:eastAsia="Times New Roman" w:hAnsi="Arial" w:cs="Arial"/>
                <w:color w:val="000000"/>
                <w:sz w:val="21"/>
              </w:rPr>
              <w:t xml:space="preserve"> </w:t>
            </w:r>
            <w:r w:rsidRPr="00AB5FCF">
              <w:rPr>
                <w:rFonts w:ascii="Arial" w:eastAsia="Calibri" w:hAnsi="Arial" w:cs="Arial"/>
                <w:color w:val="000000"/>
                <w:sz w:val="21"/>
              </w:rPr>
              <w:t>of</w:t>
            </w:r>
            <w:r w:rsidRPr="00AB5FCF">
              <w:rPr>
                <w:rFonts w:ascii="Arial" w:eastAsia="Times New Roman" w:hAnsi="Arial" w:cs="Arial"/>
                <w:color w:val="000000"/>
                <w:sz w:val="21"/>
              </w:rPr>
              <w:t xml:space="preserve"> </w:t>
            </w:r>
            <w:r w:rsidRPr="00AB5FCF">
              <w:rPr>
                <w:rFonts w:ascii="Arial" w:eastAsia="Calibri" w:hAnsi="Arial" w:cs="Arial"/>
                <w:color w:val="000000"/>
                <w:sz w:val="21"/>
              </w:rPr>
              <w:t>tubocurarine</w:t>
            </w:r>
            <w:r w:rsidRPr="00AB5FCF">
              <w:rPr>
                <w:rFonts w:ascii="Arial" w:eastAsia="Times New Roman" w:hAnsi="Arial" w:cs="Arial"/>
                <w:color w:val="000000"/>
                <w:sz w:val="21"/>
              </w:rPr>
              <w:t xml:space="preserve"> </w:t>
            </w:r>
            <w:r w:rsidRPr="00AB5FCF">
              <w:rPr>
                <w:rFonts w:ascii="Arial" w:eastAsia="Calibri" w:hAnsi="Arial" w:cs="Arial"/>
                <w:color w:val="000000"/>
                <w:sz w:val="21"/>
              </w:rPr>
              <w:t>added (M)</w:t>
            </w:r>
          </w:p>
        </w:tc>
      </w:tr>
      <w:tr w:rsidR="00073B3B" w:rsidRPr="00AB5FCF" w14:paraId="7AB9FE18" w14:textId="77777777" w:rsidTr="004C3534">
        <w:trPr>
          <w:trHeight w:val="454"/>
        </w:trPr>
        <w:tc>
          <w:tcPr>
            <w:tcW w:w="1696" w:type="dxa"/>
            <w:noWrap/>
            <w:vAlign w:val="center"/>
            <w:hideMark/>
          </w:tcPr>
          <w:p w14:paraId="1BABFFBE" w14:textId="77777777" w:rsidR="00073B3B" w:rsidRPr="00AB5FCF" w:rsidRDefault="00073B3B" w:rsidP="004C3534">
            <w:pPr>
              <w:spacing w:line="276" w:lineRule="auto"/>
              <w:jc w:val="center"/>
              <w:rPr>
                <w:rFonts w:ascii="Arial" w:hAnsi="Arial" w:cs="Arial"/>
                <w:sz w:val="21"/>
                <w:szCs w:val="20"/>
              </w:rPr>
            </w:pPr>
          </w:p>
        </w:tc>
        <w:tc>
          <w:tcPr>
            <w:tcW w:w="1843" w:type="dxa"/>
            <w:noWrap/>
            <w:vAlign w:val="center"/>
            <w:hideMark/>
          </w:tcPr>
          <w:p w14:paraId="307EE7ED" w14:textId="77777777" w:rsidR="00073B3B" w:rsidRPr="00AB5FCF" w:rsidRDefault="00073B3B" w:rsidP="004C3534">
            <w:pPr>
              <w:spacing w:line="276" w:lineRule="auto"/>
              <w:jc w:val="center"/>
              <w:rPr>
                <w:rFonts w:ascii="Arial" w:eastAsia="Times New Roman" w:hAnsi="Arial" w:cs="Arial"/>
                <w:sz w:val="21"/>
                <w:szCs w:val="20"/>
              </w:rPr>
            </w:pPr>
          </w:p>
        </w:tc>
        <w:tc>
          <w:tcPr>
            <w:tcW w:w="1133" w:type="dxa"/>
            <w:noWrap/>
            <w:vAlign w:val="center"/>
            <w:hideMark/>
          </w:tcPr>
          <w:p w14:paraId="0F944904"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0</w:t>
            </w:r>
          </w:p>
        </w:tc>
        <w:tc>
          <w:tcPr>
            <w:tcW w:w="1077" w:type="dxa"/>
            <w:noWrap/>
            <w:vAlign w:val="center"/>
            <w:hideMark/>
          </w:tcPr>
          <w:p w14:paraId="46C1D0BB"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1</w:t>
            </w:r>
            <w:r w:rsidRPr="00AB5FCF">
              <w:rPr>
                <w:rFonts w:ascii="Arial" w:eastAsia="Calibri" w:hAnsi="Arial" w:cs="Arial"/>
                <w:color w:val="000000"/>
                <w:sz w:val="21"/>
              </w:rPr>
              <w:t>0</w:t>
            </w:r>
            <w:r w:rsidRPr="00AB5FCF">
              <w:rPr>
                <w:rFonts w:ascii="Arial" w:eastAsia="Times New Roman" w:hAnsi="Arial" w:cs="Arial"/>
                <w:color w:val="000000"/>
                <w:sz w:val="21"/>
                <w:vertAlign w:val="superscript"/>
              </w:rPr>
              <w:t>-9</w:t>
            </w:r>
          </w:p>
        </w:tc>
        <w:tc>
          <w:tcPr>
            <w:tcW w:w="1077" w:type="dxa"/>
            <w:noWrap/>
            <w:vAlign w:val="center"/>
            <w:hideMark/>
          </w:tcPr>
          <w:p w14:paraId="14716B34"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1</w:t>
            </w:r>
            <w:r w:rsidRPr="00AB5FCF">
              <w:rPr>
                <w:rFonts w:ascii="Arial" w:eastAsia="Calibri" w:hAnsi="Arial" w:cs="Arial"/>
                <w:color w:val="000000"/>
                <w:sz w:val="21"/>
              </w:rPr>
              <w:t>0</w:t>
            </w:r>
            <w:r w:rsidRPr="00AB5FCF">
              <w:rPr>
                <w:rFonts w:ascii="Arial" w:eastAsia="Times New Roman" w:hAnsi="Arial" w:cs="Arial"/>
                <w:color w:val="000000"/>
                <w:sz w:val="21"/>
                <w:vertAlign w:val="superscript"/>
              </w:rPr>
              <w:t>-8</w:t>
            </w:r>
          </w:p>
        </w:tc>
        <w:tc>
          <w:tcPr>
            <w:tcW w:w="1077" w:type="dxa"/>
            <w:noWrap/>
            <w:vAlign w:val="center"/>
            <w:hideMark/>
          </w:tcPr>
          <w:p w14:paraId="5E2A787D"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1</w:t>
            </w:r>
            <w:r w:rsidRPr="00AB5FCF">
              <w:rPr>
                <w:rFonts w:ascii="Arial" w:eastAsia="Calibri" w:hAnsi="Arial" w:cs="Arial"/>
                <w:color w:val="000000"/>
                <w:sz w:val="21"/>
              </w:rPr>
              <w:t>0</w:t>
            </w:r>
            <w:r w:rsidRPr="00AB5FCF">
              <w:rPr>
                <w:rFonts w:ascii="Arial" w:eastAsia="Times New Roman" w:hAnsi="Arial" w:cs="Arial"/>
                <w:color w:val="000000"/>
                <w:sz w:val="21"/>
                <w:vertAlign w:val="superscript"/>
              </w:rPr>
              <w:t>-7</w:t>
            </w:r>
          </w:p>
        </w:tc>
        <w:tc>
          <w:tcPr>
            <w:tcW w:w="1077" w:type="dxa"/>
            <w:noWrap/>
            <w:vAlign w:val="center"/>
            <w:hideMark/>
          </w:tcPr>
          <w:p w14:paraId="1E5D4202"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1</w:t>
            </w:r>
            <w:r w:rsidRPr="00AB5FCF">
              <w:rPr>
                <w:rFonts w:ascii="Arial" w:eastAsia="Calibri" w:hAnsi="Arial" w:cs="Arial"/>
                <w:color w:val="000000"/>
                <w:sz w:val="21"/>
              </w:rPr>
              <w:t>0</w:t>
            </w:r>
            <w:r w:rsidRPr="00AB5FCF">
              <w:rPr>
                <w:rFonts w:ascii="Arial" w:eastAsia="Times New Roman" w:hAnsi="Arial" w:cs="Arial"/>
                <w:color w:val="000000"/>
                <w:sz w:val="21"/>
                <w:vertAlign w:val="superscript"/>
              </w:rPr>
              <w:t>-6</w:t>
            </w:r>
          </w:p>
        </w:tc>
      </w:tr>
      <w:tr w:rsidR="00073B3B" w:rsidRPr="00AB5FCF" w14:paraId="39392CED" w14:textId="77777777" w:rsidTr="004C3534">
        <w:trPr>
          <w:trHeight w:val="454"/>
        </w:trPr>
        <w:tc>
          <w:tcPr>
            <w:tcW w:w="1696" w:type="dxa"/>
            <w:vMerge w:val="restart"/>
            <w:noWrap/>
            <w:vAlign w:val="center"/>
            <w:hideMark/>
          </w:tcPr>
          <w:p w14:paraId="4C55E7D6"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Calibri" w:hAnsi="Arial" w:cs="Arial"/>
                <w:color w:val="000000"/>
                <w:sz w:val="21"/>
              </w:rPr>
              <w:t>Muscle</w:t>
            </w:r>
            <w:r w:rsidRPr="00AB5FCF">
              <w:rPr>
                <w:rFonts w:ascii="Arial" w:eastAsia="Times New Roman" w:hAnsi="Arial" w:cs="Arial"/>
                <w:color w:val="000000"/>
                <w:sz w:val="21"/>
              </w:rPr>
              <w:t xml:space="preserve"> </w:t>
            </w:r>
            <w:r w:rsidRPr="00AB5FCF">
              <w:rPr>
                <w:rFonts w:ascii="Arial" w:eastAsia="Calibri" w:hAnsi="Arial" w:cs="Arial"/>
                <w:color w:val="000000"/>
                <w:sz w:val="21"/>
              </w:rPr>
              <w:t>response</w:t>
            </w:r>
            <w:r w:rsidRPr="00AB5FCF">
              <w:rPr>
                <w:rFonts w:ascii="Arial" w:eastAsia="Times New Roman" w:hAnsi="Arial" w:cs="Arial"/>
                <w:color w:val="000000"/>
                <w:sz w:val="21"/>
              </w:rPr>
              <w:t xml:space="preserve"> </w:t>
            </w:r>
            <w:r w:rsidRPr="00AB5FCF">
              <w:rPr>
                <w:rFonts w:ascii="Arial" w:eastAsia="Calibri" w:hAnsi="Arial" w:cs="Arial"/>
                <w:color w:val="000000"/>
                <w:sz w:val="21"/>
              </w:rPr>
              <w:t>under</w:t>
            </w:r>
            <w:r w:rsidRPr="00AB5FCF">
              <w:rPr>
                <w:rFonts w:ascii="Arial" w:eastAsia="Times New Roman" w:hAnsi="Arial" w:cs="Arial"/>
                <w:color w:val="000000"/>
                <w:sz w:val="21"/>
              </w:rPr>
              <w:t xml:space="preserve"> </w:t>
            </w:r>
            <w:r w:rsidRPr="00AB5FCF">
              <w:rPr>
                <w:rFonts w:ascii="Arial" w:eastAsia="Calibri" w:hAnsi="Arial" w:cs="Arial"/>
                <w:color w:val="000000"/>
                <w:sz w:val="21"/>
              </w:rPr>
              <w:t>myogenic</w:t>
            </w:r>
            <w:r w:rsidRPr="00AB5FCF">
              <w:rPr>
                <w:rFonts w:ascii="Arial" w:eastAsia="Times New Roman" w:hAnsi="Arial" w:cs="Arial"/>
                <w:color w:val="000000"/>
                <w:sz w:val="21"/>
              </w:rPr>
              <w:t xml:space="preserve"> </w:t>
            </w:r>
            <w:r w:rsidRPr="00AB5FCF">
              <w:rPr>
                <w:rFonts w:ascii="Arial" w:eastAsia="Calibri" w:hAnsi="Arial" w:cs="Arial"/>
                <w:color w:val="000000"/>
                <w:sz w:val="21"/>
              </w:rPr>
              <w:t>stimulation</w:t>
            </w:r>
            <w:r w:rsidRPr="00AB5FCF">
              <w:rPr>
                <w:rFonts w:ascii="Arial" w:eastAsia="Times New Roman" w:hAnsi="Arial" w:cs="Arial"/>
                <w:color w:val="000000"/>
                <w:sz w:val="21"/>
              </w:rPr>
              <w:t xml:space="preserve"> (</w:t>
            </w:r>
            <w:r w:rsidRPr="00AB5FCF">
              <w:rPr>
                <w:rFonts w:ascii="Arial" w:eastAsia="Calibri" w:hAnsi="Arial" w:cs="Arial"/>
                <w:color w:val="000000"/>
                <w:sz w:val="21"/>
              </w:rPr>
              <w:t>mN</w:t>
            </w:r>
            <w:r w:rsidRPr="00AB5FCF">
              <w:rPr>
                <w:rFonts w:ascii="Arial" w:eastAsia="Times New Roman" w:hAnsi="Arial" w:cs="Arial"/>
                <w:color w:val="000000"/>
                <w:sz w:val="21"/>
              </w:rPr>
              <w:t>)</w:t>
            </w:r>
          </w:p>
        </w:tc>
        <w:tc>
          <w:tcPr>
            <w:tcW w:w="1843" w:type="dxa"/>
            <w:noWrap/>
            <w:vAlign w:val="center"/>
            <w:hideMark/>
          </w:tcPr>
          <w:p w14:paraId="16ABE62B"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Calibri" w:hAnsi="Arial" w:cs="Arial"/>
                <w:color w:val="000000"/>
                <w:sz w:val="21"/>
              </w:rPr>
              <w:t>Trial</w:t>
            </w:r>
            <w:r w:rsidRPr="00AB5FCF">
              <w:rPr>
                <w:rFonts w:ascii="Arial" w:eastAsia="Times New Roman" w:hAnsi="Arial" w:cs="Arial"/>
                <w:color w:val="000000"/>
                <w:sz w:val="21"/>
              </w:rPr>
              <w:t xml:space="preserve"> 1</w:t>
            </w:r>
          </w:p>
        </w:tc>
        <w:tc>
          <w:tcPr>
            <w:tcW w:w="1133" w:type="dxa"/>
            <w:noWrap/>
            <w:vAlign w:val="center"/>
            <w:hideMark/>
          </w:tcPr>
          <w:p w14:paraId="5BA9C8E6"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88.92</w:t>
            </w:r>
          </w:p>
        </w:tc>
        <w:tc>
          <w:tcPr>
            <w:tcW w:w="1077" w:type="dxa"/>
            <w:noWrap/>
            <w:vAlign w:val="center"/>
            <w:hideMark/>
          </w:tcPr>
          <w:p w14:paraId="1B8D121F"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71.69</w:t>
            </w:r>
          </w:p>
        </w:tc>
        <w:tc>
          <w:tcPr>
            <w:tcW w:w="1077" w:type="dxa"/>
            <w:noWrap/>
            <w:vAlign w:val="center"/>
            <w:hideMark/>
          </w:tcPr>
          <w:p w14:paraId="0DFCFEB0"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77.35</w:t>
            </w:r>
          </w:p>
        </w:tc>
        <w:tc>
          <w:tcPr>
            <w:tcW w:w="1077" w:type="dxa"/>
            <w:noWrap/>
            <w:vAlign w:val="center"/>
            <w:hideMark/>
          </w:tcPr>
          <w:p w14:paraId="3DC36E18"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94.74</w:t>
            </w:r>
          </w:p>
        </w:tc>
        <w:tc>
          <w:tcPr>
            <w:tcW w:w="1077" w:type="dxa"/>
            <w:noWrap/>
            <w:vAlign w:val="center"/>
            <w:hideMark/>
          </w:tcPr>
          <w:p w14:paraId="0D63657D"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71.91</w:t>
            </w:r>
          </w:p>
        </w:tc>
      </w:tr>
      <w:tr w:rsidR="00073B3B" w:rsidRPr="00AB5FCF" w14:paraId="3FEE8B02" w14:textId="77777777" w:rsidTr="004C3534">
        <w:trPr>
          <w:trHeight w:val="454"/>
        </w:trPr>
        <w:tc>
          <w:tcPr>
            <w:tcW w:w="1696" w:type="dxa"/>
            <w:vMerge/>
            <w:vAlign w:val="center"/>
            <w:hideMark/>
          </w:tcPr>
          <w:p w14:paraId="617D42A2" w14:textId="77777777" w:rsidR="00073B3B" w:rsidRPr="00AB5FCF" w:rsidRDefault="00073B3B" w:rsidP="004C3534">
            <w:pPr>
              <w:spacing w:line="276" w:lineRule="auto"/>
              <w:jc w:val="center"/>
              <w:rPr>
                <w:rFonts w:ascii="Arial" w:eastAsia="Times New Roman" w:hAnsi="Arial" w:cs="Arial"/>
                <w:color w:val="000000"/>
                <w:sz w:val="21"/>
              </w:rPr>
            </w:pPr>
          </w:p>
        </w:tc>
        <w:tc>
          <w:tcPr>
            <w:tcW w:w="1843" w:type="dxa"/>
            <w:noWrap/>
            <w:vAlign w:val="center"/>
            <w:hideMark/>
          </w:tcPr>
          <w:p w14:paraId="1D722615"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Calibri" w:hAnsi="Arial" w:cs="Arial"/>
                <w:color w:val="000000"/>
                <w:sz w:val="21"/>
              </w:rPr>
              <w:t>Trial</w:t>
            </w:r>
            <w:r w:rsidRPr="00AB5FCF">
              <w:rPr>
                <w:rFonts w:ascii="Arial" w:eastAsia="Times New Roman" w:hAnsi="Arial" w:cs="Arial"/>
                <w:color w:val="000000"/>
                <w:sz w:val="21"/>
              </w:rPr>
              <w:t xml:space="preserve"> 2</w:t>
            </w:r>
          </w:p>
        </w:tc>
        <w:tc>
          <w:tcPr>
            <w:tcW w:w="1133" w:type="dxa"/>
            <w:noWrap/>
            <w:vAlign w:val="center"/>
            <w:hideMark/>
          </w:tcPr>
          <w:p w14:paraId="3F2BB651"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88.47</w:t>
            </w:r>
          </w:p>
        </w:tc>
        <w:tc>
          <w:tcPr>
            <w:tcW w:w="1077" w:type="dxa"/>
            <w:noWrap/>
            <w:vAlign w:val="center"/>
            <w:hideMark/>
          </w:tcPr>
          <w:p w14:paraId="0AFE0E3B"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75.08</w:t>
            </w:r>
          </w:p>
        </w:tc>
        <w:tc>
          <w:tcPr>
            <w:tcW w:w="1077" w:type="dxa"/>
            <w:noWrap/>
            <w:vAlign w:val="center"/>
            <w:hideMark/>
          </w:tcPr>
          <w:p w14:paraId="4F74A7E1"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88.24</w:t>
            </w:r>
          </w:p>
        </w:tc>
        <w:tc>
          <w:tcPr>
            <w:tcW w:w="1077" w:type="dxa"/>
            <w:noWrap/>
            <w:vAlign w:val="center"/>
            <w:hideMark/>
          </w:tcPr>
          <w:p w14:paraId="4959304A"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97.46</w:t>
            </w:r>
          </w:p>
        </w:tc>
        <w:tc>
          <w:tcPr>
            <w:tcW w:w="1077" w:type="dxa"/>
            <w:noWrap/>
            <w:vAlign w:val="center"/>
            <w:hideMark/>
          </w:tcPr>
          <w:p w14:paraId="7D9E60A5"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75.31</w:t>
            </w:r>
          </w:p>
        </w:tc>
      </w:tr>
      <w:tr w:rsidR="00073B3B" w:rsidRPr="00AB5FCF" w14:paraId="18C84776" w14:textId="77777777" w:rsidTr="004C3534">
        <w:trPr>
          <w:trHeight w:val="454"/>
        </w:trPr>
        <w:tc>
          <w:tcPr>
            <w:tcW w:w="1696" w:type="dxa"/>
            <w:vMerge/>
            <w:vAlign w:val="center"/>
            <w:hideMark/>
          </w:tcPr>
          <w:p w14:paraId="3D57A950" w14:textId="77777777" w:rsidR="00073B3B" w:rsidRPr="00AB5FCF" w:rsidRDefault="00073B3B" w:rsidP="004C3534">
            <w:pPr>
              <w:spacing w:line="276" w:lineRule="auto"/>
              <w:jc w:val="center"/>
              <w:rPr>
                <w:rFonts w:ascii="Arial" w:eastAsia="Times New Roman" w:hAnsi="Arial" w:cs="Arial"/>
                <w:color w:val="000000"/>
                <w:sz w:val="21"/>
              </w:rPr>
            </w:pPr>
          </w:p>
        </w:tc>
        <w:tc>
          <w:tcPr>
            <w:tcW w:w="1843" w:type="dxa"/>
            <w:noWrap/>
            <w:vAlign w:val="center"/>
            <w:hideMark/>
          </w:tcPr>
          <w:p w14:paraId="670736E1"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Calibri" w:hAnsi="Arial" w:cs="Arial"/>
                <w:color w:val="000000"/>
                <w:sz w:val="21"/>
              </w:rPr>
              <w:t>Trial</w:t>
            </w:r>
            <w:r w:rsidRPr="00AB5FCF">
              <w:rPr>
                <w:rFonts w:ascii="Arial" w:eastAsia="Times New Roman" w:hAnsi="Arial" w:cs="Arial"/>
                <w:color w:val="000000"/>
                <w:sz w:val="21"/>
              </w:rPr>
              <w:t xml:space="preserve"> 3</w:t>
            </w:r>
          </w:p>
        </w:tc>
        <w:tc>
          <w:tcPr>
            <w:tcW w:w="1133" w:type="dxa"/>
            <w:noWrap/>
            <w:vAlign w:val="center"/>
            <w:hideMark/>
          </w:tcPr>
          <w:p w14:paraId="1AD14742"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81.44</w:t>
            </w:r>
          </w:p>
        </w:tc>
        <w:tc>
          <w:tcPr>
            <w:tcW w:w="1077" w:type="dxa"/>
            <w:noWrap/>
            <w:vAlign w:val="center"/>
            <w:hideMark/>
          </w:tcPr>
          <w:p w14:paraId="69A76991"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77.81</w:t>
            </w:r>
          </w:p>
        </w:tc>
        <w:tc>
          <w:tcPr>
            <w:tcW w:w="1077" w:type="dxa"/>
            <w:noWrap/>
            <w:vAlign w:val="center"/>
            <w:hideMark/>
          </w:tcPr>
          <w:p w14:paraId="5689E187"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82.57</w:t>
            </w:r>
          </w:p>
        </w:tc>
        <w:tc>
          <w:tcPr>
            <w:tcW w:w="1077" w:type="dxa"/>
            <w:noWrap/>
            <w:vAlign w:val="center"/>
            <w:hideMark/>
          </w:tcPr>
          <w:p w14:paraId="029DC992"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102.91</w:t>
            </w:r>
          </w:p>
        </w:tc>
        <w:tc>
          <w:tcPr>
            <w:tcW w:w="1077" w:type="dxa"/>
            <w:noWrap/>
            <w:vAlign w:val="center"/>
            <w:hideMark/>
          </w:tcPr>
          <w:p w14:paraId="7A4A8B20"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71.69</w:t>
            </w:r>
          </w:p>
        </w:tc>
      </w:tr>
      <w:tr w:rsidR="00073B3B" w:rsidRPr="00AB5FCF" w14:paraId="2175A471" w14:textId="77777777" w:rsidTr="004C3534">
        <w:trPr>
          <w:trHeight w:val="454"/>
        </w:trPr>
        <w:tc>
          <w:tcPr>
            <w:tcW w:w="1696" w:type="dxa"/>
            <w:vMerge/>
            <w:vAlign w:val="center"/>
            <w:hideMark/>
          </w:tcPr>
          <w:p w14:paraId="566A3596" w14:textId="77777777" w:rsidR="00073B3B" w:rsidRPr="00AB5FCF" w:rsidRDefault="00073B3B" w:rsidP="004C3534">
            <w:pPr>
              <w:spacing w:line="276" w:lineRule="auto"/>
              <w:jc w:val="center"/>
              <w:rPr>
                <w:rFonts w:ascii="Arial" w:eastAsia="Times New Roman" w:hAnsi="Arial" w:cs="Arial"/>
                <w:color w:val="000000"/>
                <w:sz w:val="21"/>
              </w:rPr>
            </w:pPr>
          </w:p>
        </w:tc>
        <w:tc>
          <w:tcPr>
            <w:tcW w:w="1843" w:type="dxa"/>
            <w:noWrap/>
            <w:vAlign w:val="center"/>
            <w:hideMark/>
          </w:tcPr>
          <w:p w14:paraId="43968C6A"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Calibri" w:hAnsi="Arial" w:cs="Arial"/>
                <w:color w:val="000000"/>
                <w:sz w:val="21"/>
              </w:rPr>
              <w:t>Average</w:t>
            </w:r>
            <w:r w:rsidRPr="00AB5FCF">
              <w:rPr>
                <w:rFonts w:ascii="Arial" w:eastAsia="Times New Roman" w:hAnsi="Arial" w:cs="Arial"/>
                <w:color w:val="000000"/>
                <w:sz w:val="21"/>
              </w:rPr>
              <w:t xml:space="preserve"> (</w:t>
            </w:r>
            <w:r w:rsidRPr="00AB5FCF">
              <w:rPr>
                <w:rFonts w:ascii="Arial" w:eastAsia="Calibri" w:hAnsi="Arial" w:cs="Arial"/>
                <w:color w:val="000000"/>
                <w:sz w:val="21"/>
              </w:rPr>
              <w:t>mN</w:t>
            </w:r>
            <w:r w:rsidRPr="00AB5FCF">
              <w:rPr>
                <w:rFonts w:ascii="Arial" w:eastAsia="Times New Roman" w:hAnsi="Arial" w:cs="Arial"/>
                <w:color w:val="000000"/>
                <w:sz w:val="21"/>
              </w:rPr>
              <w:t>)</w:t>
            </w:r>
          </w:p>
        </w:tc>
        <w:tc>
          <w:tcPr>
            <w:tcW w:w="1133" w:type="dxa"/>
            <w:noWrap/>
            <w:vAlign w:val="center"/>
            <w:hideMark/>
          </w:tcPr>
          <w:p w14:paraId="01959EF2"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86.28</w:t>
            </w:r>
          </w:p>
        </w:tc>
        <w:tc>
          <w:tcPr>
            <w:tcW w:w="1077" w:type="dxa"/>
            <w:noWrap/>
            <w:vAlign w:val="center"/>
            <w:hideMark/>
          </w:tcPr>
          <w:p w14:paraId="63FF549F"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74.86</w:t>
            </w:r>
          </w:p>
        </w:tc>
        <w:tc>
          <w:tcPr>
            <w:tcW w:w="1077" w:type="dxa"/>
            <w:noWrap/>
            <w:vAlign w:val="center"/>
            <w:hideMark/>
          </w:tcPr>
          <w:p w14:paraId="555E4622"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82.72</w:t>
            </w:r>
          </w:p>
        </w:tc>
        <w:tc>
          <w:tcPr>
            <w:tcW w:w="1077" w:type="dxa"/>
            <w:noWrap/>
            <w:vAlign w:val="center"/>
            <w:hideMark/>
          </w:tcPr>
          <w:p w14:paraId="1CB55AA6"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98.37</w:t>
            </w:r>
          </w:p>
        </w:tc>
        <w:tc>
          <w:tcPr>
            <w:tcW w:w="1077" w:type="dxa"/>
            <w:noWrap/>
            <w:vAlign w:val="center"/>
            <w:hideMark/>
          </w:tcPr>
          <w:p w14:paraId="7463530A" w14:textId="77777777" w:rsidR="00073B3B" w:rsidRPr="00AB5FCF" w:rsidRDefault="00073B3B" w:rsidP="004C3534">
            <w:pPr>
              <w:spacing w:line="276" w:lineRule="auto"/>
              <w:jc w:val="center"/>
              <w:rPr>
                <w:rFonts w:ascii="Arial" w:eastAsia="Times New Roman" w:hAnsi="Arial" w:cs="Arial"/>
                <w:color w:val="000000"/>
                <w:sz w:val="21"/>
              </w:rPr>
            </w:pPr>
            <w:r w:rsidRPr="00AB5FCF">
              <w:rPr>
                <w:rFonts w:ascii="Arial" w:eastAsia="Times New Roman" w:hAnsi="Arial" w:cs="Arial"/>
                <w:color w:val="000000"/>
                <w:sz w:val="21"/>
              </w:rPr>
              <w:t>72.97</w:t>
            </w:r>
          </w:p>
        </w:tc>
      </w:tr>
    </w:tbl>
    <w:p w14:paraId="76EF1C4D" w14:textId="77777777" w:rsidR="005F37D7" w:rsidRPr="005F37D7" w:rsidRDefault="005F37D7" w:rsidP="005F37D7">
      <w:pPr>
        <w:spacing w:line="480" w:lineRule="auto"/>
        <w:rPr>
          <w:rFonts w:ascii="Times New Roman" w:eastAsia="Times New Roman" w:hAnsi="Times New Roman" w:cs="Times New Roman"/>
        </w:rPr>
      </w:pPr>
    </w:p>
    <w:p w14:paraId="4E1DC097" w14:textId="000840FF" w:rsidR="005F37D7" w:rsidRPr="005F37D7" w:rsidRDefault="00C648AA" w:rsidP="009A2C23">
      <w:pPr>
        <w:spacing w:after="120" w:line="480" w:lineRule="auto"/>
        <w:ind w:firstLine="720"/>
        <w:rPr>
          <w:rFonts w:ascii="Times New Roman" w:hAnsi="Times New Roman" w:cs="Times New Roman"/>
        </w:rPr>
      </w:pPr>
      <w:r w:rsidRPr="005F37D7">
        <w:rPr>
          <w:rFonts w:ascii="Arial" w:hAnsi="Arial" w:cs="Arial"/>
          <w:color w:val="000000"/>
        </w:rPr>
        <w:t xml:space="preserve">Three trials </w:t>
      </w:r>
      <w:r>
        <w:rPr>
          <w:rFonts w:ascii="Arial" w:hAnsi="Arial" w:cs="Arial"/>
          <w:color w:val="000000"/>
        </w:rPr>
        <w:t xml:space="preserve">were conducted </w:t>
      </w:r>
      <w:r w:rsidRPr="005F37D7">
        <w:rPr>
          <w:rFonts w:ascii="Arial" w:hAnsi="Arial" w:cs="Arial"/>
          <w:color w:val="000000"/>
        </w:rPr>
        <w:t>to determine the muscle response</w:t>
      </w:r>
      <w:r>
        <w:rPr>
          <w:rFonts w:ascii="Arial" w:hAnsi="Arial" w:cs="Arial"/>
          <w:color w:val="000000"/>
        </w:rPr>
        <w:t xml:space="preserve"> (by the force exerted) under </w:t>
      </w:r>
      <w:r>
        <w:rPr>
          <w:rFonts w:ascii="Arial" w:hAnsi="Arial" w:cs="Arial"/>
          <w:color w:val="000000"/>
        </w:rPr>
        <w:t>myogenic</w:t>
      </w:r>
      <w:r>
        <w:rPr>
          <w:rFonts w:ascii="Arial" w:hAnsi="Arial" w:cs="Arial"/>
          <w:color w:val="000000"/>
        </w:rPr>
        <w:t xml:space="preserve"> stimulation</w:t>
      </w:r>
      <w:r w:rsidRPr="005F37D7">
        <w:rPr>
          <w:rFonts w:ascii="Arial" w:hAnsi="Arial" w:cs="Arial"/>
          <w:color w:val="000000"/>
        </w:rPr>
        <w:t xml:space="preserve"> for each concentration of tubocurarine added to the tissue bath. This started with a control of Ringer’s solution</w:t>
      </w:r>
      <w:r>
        <w:rPr>
          <w:rFonts w:ascii="Arial" w:hAnsi="Arial" w:cs="Arial"/>
          <w:color w:val="000000"/>
        </w:rPr>
        <w:t xml:space="preserve"> (0M tubocurarine)</w:t>
      </w:r>
      <w:r w:rsidRPr="005F37D7">
        <w:rPr>
          <w:rFonts w:ascii="Arial" w:hAnsi="Arial" w:cs="Arial"/>
          <w:color w:val="000000"/>
        </w:rPr>
        <w:t>, and then increasing concentrations from 1</w:t>
      </w:r>
      <w:r>
        <w:rPr>
          <w:rFonts w:ascii="Arial" w:hAnsi="Arial" w:cs="Arial"/>
          <w:color w:val="000000"/>
        </w:rPr>
        <w:t>0</w:t>
      </w:r>
      <w:r>
        <w:rPr>
          <w:rFonts w:ascii="Arial" w:hAnsi="Arial" w:cs="Arial"/>
          <w:color w:val="000000"/>
          <w:vertAlign w:val="superscript"/>
        </w:rPr>
        <w:t>-9</w:t>
      </w:r>
      <w:r w:rsidRPr="005F37D7">
        <w:rPr>
          <w:rFonts w:ascii="Arial" w:hAnsi="Arial" w:cs="Arial"/>
          <w:color w:val="000000"/>
        </w:rPr>
        <w:t xml:space="preserve"> M tubocurarine. </w:t>
      </w:r>
      <w:r w:rsidR="005F37D7" w:rsidRPr="005F37D7">
        <w:rPr>
          <w:rFonts w:ascii="Arial" w:hAnsi="Arial" w:cs="Arial"/>
          <w:color w:val="000000"/>
        </w:rPr>
        <w:t xml:space="preserve">These trials were averaged to give the average force (mN) exerted by the muscle at 2.5V, its maximal voltage under myogenic stimulation. The average force (mN) can be seen to fluctuate both above and below in comparison to the force exerted in the control (Table 2), and so no general trend appears. </w:t>
      </w:r>
    </w:p>
    <w:p w14:paraId="66723C31" w14:textId="1749679C" w:rsidR="005F37D7" w:rsidRPr="005F37D7" w:rsidRDefault="005F37D7" w:rsidP="00AB5FCF">
      <w:pPr>
        <w:spacing w:after="120" w:line="480" w:lineRule="auto"/>
        <w:jc w:val="center"/>
        <w:rPr>
          <w:rFonts w:ascii="Times New Roman" w:hAnsi="Times New Roman" w:cs="Times New Roman"/>
        </w:rPr>
      </w:pPr>
      <w:r w:rsidRPr="005F37D7">
        <w:rPr>
          <w:rFonts w:ascii="Arial" w:hAnsi="Arial" w:cs="Arial"/>
          <w:i/>
          <w:iCs/>
          <w:noProof/>
          <w:color w:val="000000"/>
        </w:rPr>
        <w:drawing>
          <wp:inline distT="0" distB="0" distL="0" distR="0" wp14:anchorId="351F375E" wp14:editId="1D595B6F">
            <wp:extent cx="4827069" cy="2492544"/>
            <wp:effectExtent l="0" t="0" r="0" b="0"/>
            <wp:docPr id="5" name="Picture 5" descr="yoge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gen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6266" cy="2497293"/>
                    </a:xfrm>
                    <a:prstGeom prst="rect">
                      <a:avLst/>
                    </a:prstGeom>
                    <a:noFill/>
                    <a:ln>
                      <a:noFill/>
                    </a:ln>
                  </pic:spPr>
                </pic:pic>
              </a:graphicData>
            </a:graphic>
          </wp:inline>
        </w:drawing>
      </w:r>
    </w:p>
    <w:p w14:paraId="477C0DC0" w14:textId="50995BAC" w:rsidR="005F37D7" w:rsidRPr="00527182" w:rsidRDefault="005F37D7" w:rsidP="00527182">
      <w:pPr>
        <w:spacing w:after="120" w:line="276" w:lineRule="auto"/>
        <w:rPr>
          <w:rFonts w:ascii="Times New Roman" w:hAnsi="Times New Roman" w:cs="Times New Roman"/>
          <w:b/>
          <w:sz w:val="21"/>
        </w:rPr>
      </w:pPr>
      <w:r w:rsidRPr="00527182">
        <w:rPr>
          <w:rFonts w:ascii="Arial" w:hAnsi="Arial" w:cs="Arial"/>
          <w:b/>
          <w:i/>
          <w:iCs/>
          <w:color w:val="000000"/>
          <w:sz w:val="21"/>
        </w:rPr>
        <w:t>Figure 2</w:t>
      </w:r>
      <w:r w:rsidR="00527182">
        <w:rPr>
          <w:rFonts w:ascii="Arial" w:hAnsi="Arial" w:cs="Arial"/>
          <w:b/>
          <w:i/>
          <w:iCs/>
          <w:color w:val="000000"/>
          <w:sz w:val="21"/>
        </w:rPr>
        <w:t>.</w:t>
      </w:r>
      <w:r w:rsidRPr="00527182">
        <w:rPr>
          <w:rFonts w:ascii="Arial" w:hAnsi="Arial" w:cs="Arial"/>
          <w:b/>
          <w:i/>
          <w:iCs/>
          <w:color w:val="000000"/>
          <w:sz w:val="21"/>
        </w:rPr>
        <w:t xml:space="preserve"> Average muscle response (mN) with SEM of the gastrocnemius toad preparation at 2.5V under myogenic stimulation against increasing concentration of tubocurarine in the tissue bath.</w:t>
      </w:r>
    </w:p>
    <w:p w14:paraId="0EEFB523" w14:textId="082F7116" w:rsidR="005F37D7" w:rsidRPr="009A2C23" w:rsidRDefault="005F37D7" w:rsidP="009A2C23">
      <w:pPr>
        <w:spacing w:after="120" w:line="480" w:lineRule="auto"/>
        <w:ind w:firstLine="720"/>
        <w:rPr>
          <w:rFonts w:ascii="Times New Roman" w:hAnsi="Times New Roman" w:cs="Times New Roman"/>
        </w:rPr>
      </w:pPr>
      <w:r w:rsidRPr="005F37D7">
        <w:rPr>
          <w:rFonts w:ascii="Arial" w:hAnsi="Arial" w:cs="Arial"/>
          <w:color w:val="000000"/>
        </w:rPr>
        <w:t xml:space="preserve">No clear general trend can be observed in Fig 2 between the concentration of tubocurarine and the force exerted by the muscle under myogenic stimulation at 2.5V, hence why the results have been expressed through </w:t>
      </w:r>
      <w:r w:rsidR="003E5F7F">
        <w:rPr>
          <w:rFonts w:ascii="Arial" w:hAnsi="Arial" w:cs="Arial"/>
          <w:color w:val="000000"/>
        </w:rPr>
        <w:t>a column</w:t>
      </w:r>
      <w:r w:rsidRPr="005F37D7">
        <w:rPr>
          <w:rFonts w:ascii="Arial" w:hAnsi="Arial" w:cs="Arial"/>
          <w:color w:val="000000"/>
        </w:rPr>
        <w:t xml:space="preserve"> graphs rather than a scatter XY graph. A concentration of tubocurarine of 0 (i.e., the control with Ringer’s solution) has an average force of 86.28 mN (Table 2) which is between the maximal and minimal forces exerted by the muscle with tubocurarine solution over the range that was tested, so follows the lack of trend discussed previously. Error bars with SEM have been included, and are relatively small, suggesting a small degree of variability across most trials for each concentration tested. </w:t>
      </w:r>
    </w:p>
    <w:p w14:paraId="1D04AB67" w14:textId="77777777" w:rsidR="005F37D7" w:rsidRPr="005F37D7" w:rsidRDefault="005F37D7" w:rsidP="005F37D7">
      <w:pPr>
        <w:spacing w:line="480" w:lineRule="auto"/>
        <w:rPr>
          <w:rFonts w:ascii="Times New Roman" w:hAnsi="Times New Roman" w:cs="Times New Roman"/>
        </w:rPr>
      </w:pPr>
      <w:r w:rsidRPr="005F37D7">
        <w:rPr>
          <w:rFonts w:ascii="Arial" w:hAnsi="Arial" w:cs="Arial"/>
          <w:b/>
          <w:bCs/>
          <w:color w:val="000000"/>
        </w:rPr>
        <w:t>Discussion</w:t>
      </w:r>
    </w:p>
    <w:p w14:paraId="70C466B7" w14:textId="1AF224FD" w:rsidR="005F37D7" w:rsidRPr="0078172C" w:rsidRDefault="005F37D7" w:rsidP="0078172C">
      <w:pPr>
        <w:spacing w:line="480" w:lineRule="auto"/>
        <w:ind w:firstLine="720"/>
        <w:rPr>
          <w:rFonts w:ascii="Times New Roman" w:hAnsi="Times New Roman" w:cs="Times New Roman"/>
        </w:rPr>
      </w:pPr>
      <w:r w:rsidRPr="005F37D7">
        <w:rPr>
          <w:rFonts w:ascii="Arial" w:hAnsi="Arial" w:cs="Arial"/>
          <w:color w:val="000000"/>
        </w:rPr>
        <w:t>The first null hypothesis</w:t>
      </w:r>
      <w:r w:rsidR="005125D1">
        <w:rPr>
          <w:rFonts w:ascii="Arial" w:hAnsi="Arial" w:cs="Arial"/>
          <w:color w:val="000000"/>
        </w:rPr>
        <w:t xml:space="preserve"> contended</w:t>
      </w:r>
      <w:r w:rsidRPr="005F37D7">
        <w:rPr>
          <w:rFonts w:ascii="Arial" w:hAnsi="Arial" w:cs="Arial"/>
          <w:color w:val="000000"/>
        </w:rPr>
        <w:t xml:space="preserve"> that the addition of tubocurarine had no effect on </w:t>
      </w:r>
      <w:r w:rsidR="00541A6A">
        <w:rPr>
          <w:rFonts w:ascii="Arial" w:hAnsi="Arial" w:cs="Arial"/>
          <w:color w:val="000000"/>
        </w:rPr>
        <w:t>the force of contraction</w:t>
      </w:r>
      <w:r w:rsidRPr="005F37D7">
        <w:rPr>
          <w:rFonts w:ascii="Arial" w:hAnsi="Arial" w:cs="Arial"/>
          <w:color w:val="000000"/>
        </w:rPr>
        <w:t xml:space="preserve"> at the maximum voltage for the nerve-gastrocnemius preparation </w:t>
      </w:r>
      <w:r w:rsidR="00541A6A">
        <w:rPr>
          <w:rFonts w:ascii="Arial" w:hAnsi="Arial" w:cs="Arial"/>
          <w:color w:val="000000"/>
        </w:rPr>
        <w:t xml:space="preserve">under neurogenic stimulation </w:t>
      </w:r>
      <w:r w:rsidRPr="005F37D7">
        <w:rPr>
          <w:rFonts w:ascii="Arial" w:hAnsi="Arial" w:cs="Arial"/>
          <w:color w:val="000000"/>
        </w:rPr>
        <w:t xml:space="preserve">(Figure 1). </w:t>
      </w:r>
      <w:r w:rsidR="00541A6A">
        <w:rPr>
          <w:rFonts w:ascii="Arial" w:hAnsi="Arial" w:cs="Arial"/>
          <w:color w:val="000000"/>
        </w:rPr>
        <w:t>It has been shown</w:t>
      </w:r>
      <w:r w:rsidRPr="005F37D7">
        <w:rPr>
          <w:rFonts w:ascii="Arial" w:hAnsi="Arial" w:cs="Arial"/>
          <w:color w:val="000000"/>
        </w:rPr>
        <w:t xml:space="preserve"> that increasing concentrations of tubocurarine leads to </w:t>
      </w:r>
      <w:r w:rsidR="00541A6A">
        <w:rPr>
          <w:rFonts w:ascii="Arial" w:hAnsi="Arial" w:cs="Arial"/>
          <w:color w:val="000000"/>
        </w:rPr>
        <w:t xml:space="preserve">a </w:t>
      </w:r>
      <w:r w:rsidRPr="005F37D7">
        <w:rPr>
          <w:rFonts w:ascii="Arial" w:hAnsi="Arial" w:cs="Arial"/>
          <w:color w:val="000000"/>
        </w:rPr>
        <w:t xml:space="preserve">consistent decrease </w:t>
      </w:r>
      <w:r w:rsidR="00541A6A">
        <w:rPr>
          <w:rFonts w:ascii="Arial" w:hAnsi="Arial" w:cs="Arial"/>
          <w:color w:val="000000"/>
        </w:rPr>
        <w:t>of the muscle response</w:t>
      </w:r>
      <w:r w:rsidRPr="005F37D7">
        <w:rPr>
          <w:rFonts w:ascii="Arial" w:hAnsi="Arial" w:cs="Arial"/>
          <w:color w:val="000000"/>
        </w:rPr>
        <w:t>. This result, while expected, cannot be statistically supported as not enough measurements were taken for a useful statistical analysis</w:t>
      </w:r>
      <w:r w:rsidR="002A5742">
        <w:rPr>
          <w:rFonts w:ascii="Arial" w:hAnsi="Arial" w:cs="Arial"/>
          <w:color w:val="000000"/>
        </w:rPr>
        <w:t>, with only one muscle preparation tested</w:t>
      </w:r>
      <w:r w:rsidRPr="005F37D7">
        <w:rPr>
          <w:rFonts w:ascii="Arial" w:hAnsi="Arial" w:cs="Arial"/>
          <w:color w:val="000000"/>
        </w:rPr>
        <w:t xml:space="preserve">. However, this trend can be qualitatively observed, and </w:t>
      </w:r>
      <w:r w:rsidR="002A5742">
        <w:rPr>
          <w:rFonts w:ascii="Arial" w:hAnsi="Arial" w:cs="Arial"/>
          <w:color w:val="000000"/>
        </w:rPr>
        <w:t xml:space="preserve">the first null hypothesis has been </w:t>
      </w:r>
      <w:r w:rsidR="0045717D">
        <w:rPr>
          <w:rFonts w:ascii="Arial" w:hAnsi="Arial" w:cs="Arial"/>
          <w:color w:val="000000"/>
        </w:rPr>
        <w:t>rejected</w:t>
      </w:r>
      <w:r w:rsidRPr="005F37D7">
        <w:rPr>
          <w:rFonts w:ascii="Arial" w:hAnsi="Arial" w:cs="Arial"/>
          <w:color w:val="000000"/>
        </w:rPr>
        <w:t xml:space="preserve"> </w:t>
      </w:r>
      <w:r w:rsidR="002A5742">
        <w:rPr>
          <w:rFonts w:ascii="Arial" w:hAnsi="Arial" w:cs="Arial"/>
          <w:color w:val="000000"/>
        </w:rPr>
        <w:t>–</w:t>
      </w:r>
      <w:r w:rsidRPr="005F37D7">
        <w:rPr>
          <w:rFonts w:ascii="Arial" w:hAnsi="Arial" w:cs="Arial"/>
          <w:color w:val="000000"/>
        </w:rPr>
        <w:t xml:space="preserve"> </w:t>
      </w:r>
      <w:r w:rsidR="002A5742">
        <w:rPr>
          <w:rFonts w:ascii="Arial" w:hAnsi="Arial" w:cs="Arial"/>
          <w:color w:val="000000"/>
        </w:rPr>
        <w:t>thus,</w:t>
      </w:r>
      <w:r w:rsidRPr="005F37D7">
        <w:rPr>
          <w:rFonts w:ascii="Arial" w:hAnsi="Arial" w:cs="Arial"/>
          <w:color w:val="000000"/>
        </w:rPr>
        <w:t xml:space="preserve"> tubocurarine indeed has an effect on </w:t>
      </w:r>
      <w:r w:rsidR="001E0186">
        <w:rPr>
          <w:rFonts w:ascii="Arial" w:hAnsi="Arial" w:cs="Arial"/>
          <w:color w:val="000000"/>
        </w:rPr>
        <w:t>neurogenically-</w:t>
      </w:r>
      <w:r w:rsidRPr="005F37D7">
        <w:rPr>
          <w:rFonts w:ascii="Arial" w:hAnsi="Arial" w:cs="Arial"/>
          <w:color w:val="000000"/>
        </w:rPr>
        <w:t xml:space="preserve">stimulated contraction. </w:t>
      </w:r>
    </w:p>
    <w:p w14:paraId="1A8BD254" w14:textId="538A0C56" w:rsidR="005F37D7" w:rsidRPr="0078172C" w:rsidRDefault="005F37D7" w:rsidP="0078172C">
      <w:pPr>
        <w:spacing w:line="480" w:lineRule="auto"/>
        <w:ind w:firstLine="720"/>
        <w:rPr>
          <w:rFonts w:ascii="Times New Roman" w:hAnsi="Times New Roman" w:cs="Times New Roman"/>
        </w:rPr>
      </w:pPr>
      <w:r w:rsidRPr="005F37D7">
        <w:rPr>
          <w:rFonts w:ascii="Arial" w:hAnsi="Arial" w:cs="Arial"/>
          <w:color w:val="000000"/>
        </w:rPr>
        <w:t>This observation can be explained by the antagonistic effects of tubocurarine on the end plate nAChRs at the neuromuscular junction</w:t>
      </w:r>
      <w:r w:rsidRPr="00E872CA">
        <w:rPr>
          <w:rFonts w:ascii="Arial" w:hAnsi="Arial" w:cs="Arial"/>
          <w:color w:val="000000" w:themeColor="text1"/>
        </w:rPr>
        <w:t>. As the same stimulus voltage was applied each time, this would mean the same number of ACh quanta were being released from the presynaptic terminal</w:t>
      </w:r>
      <w:r w:rsidR="00A8351D" w:rsidRPr="00E872CA">
        <w:rPr>
          <w:rFonts w:ascii="Arial" w:hAnsi="Arial" w:cs="Arial"/>
          <w:color w:val="000000" w:themeColor="text1"/>
        </w:rPr>
        <w:t xml:space="preserve"> (</w:t>
      </w:r>
      <w:r w:rsidR="00E872CA" w:rsidRPr="00E872CA">
        <w:rPr>
          <w:rFonts w:ascii="Arial" w:hAnsi="Arial" w:cs="Arial"/>
          <w:color w:val="000000" w:themeColor="text1"/>
        </w:rPr>
        <w:t>Hartzell et al., 1975)</w:t>
      </w:r>
      <w:r w:rsidRPr="00E872CA">
        <w:rPr>
          <w:rFonts w:ascii="Arial" w:hAnsi="Arial" w:cs="Arial"/>
          <w:color w:val="000000" w:themeColor="text1"/>
        </w:rPr>
        <w:t>. However</w:t>
      </w:r>
      <w:r w:rsidR="0085000C">
        <w:rPr>
          <w:rFonts w:ascii="Arial" w:hAnsi="Arial" w:cs="Arial"/>
          <w:color w:val="000000"/>
        </w:rPr>
        <w:t>,</w:t>
      </w:r>
      <w:r w:rsidRPr="005F37D7">
        <w:rPr>
          <w:rFonts w:ascii="Arial" w:hAnsi="Arial" w:cs="Arial"/>
          <w:color w:val="000000"/>
        </w:rPr>
        <w:t xml:space="preserve"> as tubocurarine competitively binds to the cholinergic receptors (Jenkinson, 1960), less binding will then occur between endogenous acetylcholine and the cholinergic receptors, and thus fewer post-synaptic sodium ion channels will open. This results in a smaller depolarisation of the motor endplate, and thus a twitch contraction of smaller amplitude is produced. This effect is</w:t>
      </w:r>
      <w:r w:rsidR="004121BF">
        <w:rPr>
          <w:rFonts w:ascii="Arial" w:hAnsi="Arial" w:cs="Arial"/>
          <w:color w:val="000000"/>
        </w:rPr>
        <w:t xml:space="preserve"> larger</w:t>
      </w:r>
      <w:r w:rsidRPr="005F37D7">
        <w:rPr>
          <w:rFonts w:ascii="Arial" w:hAnsi="Arial" w:cs="Arial"/>
          <w:color w:val="000000"/>
        </w:rPr>
        <w:t xml:space="preserve"> as the concentration of tubocurarine increases, as more tubocurarine present results in g</w:t>
      </w:r>
      <w:r w:rsidR="0079729D">
        <w:rPr>
          <w:rFonts w:ascii="Arial" w:hAnsi="Arial" w:cs="Arial"/>
          <w:color w:val="000000"/>
        </w:rPr>
        <w:t xml:space="preserve">reater antagonism of the nAChRs </w:t>
      </w:r>
      <w:r w:rsidRPr="005F37D7">
        <w:rPr>
          <w:rFonts w:ascii="Arial" w:hAnsi="Arial" w:cs="Arial"/>
          <w:color w:val="000000"/>
        </w:rPr>
        <w:t xml:space="preserve">(Close &amp; Hoh, 1968). </w:t>
      </w:r>
    </w:p>
    <w:p w14:paraId="76E747F7" w14:textId="7ED4F026" w:rsidR="005F37D7" w:rsidRPr="0078172C" w:rsidRDefault="0079729D" w:rsidP="0078172C">
      <w:pPr>
        <w:spacing w:line="480" w:lineRule="auto"/>
        <w:ind w:firstLine="720"/>
        <w:rPr>
          <w:rFonts w:ascii="Times New Roman" w:hAnsi="Times New Roman" w:cs="Times New Roman"/>
        </w:rPr>
      </w:pPr>
      <w:r w:rsidRPr="005F37D7">
        <w:rPr>
          <w:rFonts w:ascii="Arial" w:hAnsi="Arial" w:cs="Arial"/>
          <w:color w:val="000000"/>
        </w:rPr>
        <w:t xml:space="preserve">The </w:t>
      </w:r>
      <w:r>
        <w:rPr>
          <w:rFonts w:ascii="Arial" w:hAnsi="Arial" w:cs="Arial"/>
          <w:color w:val="000000"/>
        </w:rPr>
        <w:t>second</w:t>
      </w:r>
      <w:r w:rsidRPr="005F37D7">
        <w:rPr>
          <w:rFonts w:ascii="Arial" w:hAnsi="Arial" w:cs="Arial"/>
          <w:color w:val="000000"/>
        </w:rPr>
        <w:t xml:space="preserve"> null hypothesis</w:t>
      </w:r>
      <w:r>
        <w:rPr>
          <w:rFonts w:ascii="Arial" w:hAnsi="Arial" w:cs="Arial"/>
          <w:color w:val="000000"/>
        </w:rPr>
        <w:t xml:space="preserve"> contended</w:t>
      </w:r>
      <w:r w:rsidRPr="005F37D7">
        <w:rPr>
          <w:rFonts w:ascii="Arial" w:hAnsi="Arial" w:cs="Arial"/>
          <w:color w:val="000000"/>
        </w:rPr>
        <w:t xml:space="preserve"> that the addition of tubocurarine had no effect on </w:t>
      </w:r>
      <w:r>
        <w:rPr>
          <w:rFonts w:ascii="Arial" w:hAnsi="Arial" w:cs="Arial"/>
          <w:color w:val="000000"/>
        </w:rPr>
        <w:t>the force of contraction</w:t>
      </w:r>
      <w:r w:rsidRPr="005F37D7">
        <w:rPr>
          <w:rFonts w:ascii="Arial" w:hAnsi="Arial" w:cs="Arial"/>
          <w:color w:val="000000"/>
        </w:rPr>
        <w:t xml:space="preserve"> at the maximum voltage for the nerve-gastrocnemius preparation </w:t>
      </w:r>
      <w:r>
        <w:rPr>
          <w:rFonts w:ascii="Arial" w:hAnsi="Arial" w:cs="Arial"/>
          <w:color w:val="000000"/>
        </w:rPr>
        <w:t xml:space="preserve">under </w:t>
      </w:r>
      <w:r>
        <w:rPr>
          <w:rFonts w:ascii="Arial" w:hAnsi="Arial" w:cs="Arial"/>
          <w:color w:val="000000"/>
        </w:rPr>
        <w:t>myogenic</w:t>
      </w:r>
      <w:r>
        <w:rPr>
          <w:rFonts w:ascii="Arial" w:hAnsi="Arial" w:cs="Arial"/>
          <w:color w:val="000000"/>
        </w:rPr>
        <w:t xml:space="preserve"> stimulation</w:t>
      </w:r>
      <w:r w:rsidR="005F37D7" w:rsidRPr="005F37D7">
        <w:rPr>
          <w:rFonts w:ascii="Arial" w:hAnsi="Arial" w:cs="Arial"/>
          <w:color w:val="000000"/>
        </w:rPr>
        <w:t>. Whilst changes were detected in contractile force during the experiment (Figure 2), the addition of tubocurarine only appeared to increase contractile force, which has not been documented in the past. This result was not expected, and may be attributed to a lack of experimental reproducibility from the limited number of results. Further repeats of this experiment should be carried out to increase the reliability and reproducibility. Furthermore, multiple sciatic nerve-gastrocnemius muscle preparations c</w:t>
      </w:r>
      <w:r w:rsidR="00666DDA">
        <w:rPr>
          <w:rFonts w:ascii="Arial" w:hAnsi="Arial" w:cs="Arial"/>
          <w:color w:val="000000"/>
        </w:rPr>
        <w:t xml:space="preserve">ould be used to this effect too. This would </w:t>
      </w:r>
      <w:r w:rsidR="005F37D7" w:rsidRPr="005F37D7">
        <w:rPr>
          <w:rFonts w:ascii="Arial" w:hAnsi="Arial" w:cs="Arial"/>
          <w:color w:val="000000"/>
        </w:rPr>
        <w:t xml:space="preserve">permit application of statistical tests </w:t>
      </w:r>
      <w:r w:rsidR="007505E7">
        <w:rPr>
          <w:rFonts w:ascii="Arial" w:hAnsi="Arial" w:cs="Arial"/>
          <w:color w:val="000000"/>
        </w:rPr>
        <w:t>to</w:t>
      </w:r>
      <w:r w:rsidR="004A6675">
        <w:rPr>
          <w:rFonts w:ascii="Arial" w:hAnsi="Arial" w:cs="Arial"/>
          <w:color w:val="000000"/>
        </w:rPr>
        <w:t xml:space="preserve"> confirm that any changes in contractile force due to myogenic stimulation are not significant, and that the changes in contractile force due to neurogenic stimulation are significant</w:t>
      </w:r>
      <w:r w:rsidR="005F37D7" w:rsidRPr="005F37D7">
        <w:rPr>
          <w:rFonts w:ascii="Arial" w:hAnsi="Arial" w:cs="Arial"/>
          <w:color w:val="000000"/>
        </w:rPr>
        <w:t xml:space="preserve">. Nevertheless, Figure 2 </w:t>
      </w:r>
      <w:r w:rsidR="00666DDA">
        <w:rPr>
          <w:rFonts w:ascii="Arial" w:hAnsi="Arial" w:cs="Arial"/>
          <w:color w:val="000000"/>
        </w:rPr>
        <w:t>qualitatively demonstrates</w:t>
      </w:r>
      <w:r w:rsidR="005F37D7" w:rsidRPr="005F37D7">
        <w:rPr>
          <w:rFonts w:ascii="Arial" w:hAnsi="Arial" w:cs="Arial"/>
          <w:color w:val="000000"/>
        </w:rPr>
        <w:t xml:space="preserve"> no trend in the change of contractile strength between the 1</w:t>
      </w:r>
      <w:r w:rsidR="00666DDA">
        <w:rPr>
          <w:rFonts w:ascii="Arial" w:hAnsi="Arial" w:cs="Arial"/>
          <w:color w:val="000000"/>
        </w:rPr>
        <w:t>0</w:t>
      </w:r>
      <w:r w:rsidR="00016CBE">
        <w:rPr>
          <w:rFonts w:ascii="Arial" w:hAnsi="Arial" w:cs="Arial"/>
          <w:color w:val="000000"/>
          <w:vertAlign w:val="superscript"/>
        </w:rPr>
        <w:t>-9</w:t>
      </w:r>
      <w:r w:rsidR="005F37D7" w:rsidRPr="005F37D7">
        <w:rPr>
          <w:rFonts w:ascii="Arial" w:hAnsi="Arial" w:cs="Arial"/>
          <w:color w:val="000000"/>
        </w:rPr>
        <w:t xml:space="preserve"> M and 1</w:t>
      </w:r>
      <w:r w:rsidR="00016CBE">
        <w:rPr>
          <w:rFonts w:ascii="Arial" w:hAnsi="Arial" w:cs="Arial"/>
          <w:color w:val="000000"/>
        </w:rPr>
        <w:t>0</w:t>
      </w:r>
      <w:r w:rsidR="00016CBE">
        <w:rPr>
          <w:rFonts w:ascii="Arial" w:hAnsi="Arial" w:cs="Arial"/>
          <w:color w:val="000000"/>
          <w:vertAlign w:val="superscript"/>
        </w:rPr>
        <w:t>-6</w:t>
      </w:r>
      <w:r w:rsidR="00016CBE">
        <w:rPr>
          <w:rFonts w:ascii="Arial" w:hAnsi="Arial" w:cs="Arial"/>
          <w:color w:val="000000"/>
        </w:rPr>
        <w:t xml:space="preserve"> </w:t>
      </w:r>
      <w:r w:rsidR="005F37D7" w:rsidRPr="005F37D7">
        <w:rPr>
          <w:rFonts w:ascii="Arial" w:hAnsi="Arial" w:cs="Arial"/>
          <w:color w:val="000000"/>
        </w:rPr>
        <w:t>M tubocurarine, suggesting that the null hypothesis should be retained, and</w:t>
      </w:r>
      <w:r w:rsidR="0045717D">
        <w:rPr>
          <w:rFonts w:ascii="Arial" w:hAnsi="Arial" w:cs="Arial"/>
          <w:color w:val="000000"/>
        </w:rPr>
        <w:t xml:space="preserve"> thus </w:t>
      </w:r>
      <w:r w:rsidR="0045717D" w:rsidRPr="005F37D7">
        <w:rPr>
          <w:rFonts w:ascii="Arial" w:hAnsi="Arial" w:cs="Arial"/>
          <w:color w:val="000000"/>
        </w:rPr>
        <w:t xml:space="preserve">tubocurarine indeed has </w:t>
      </w:r>
      <w:r w:rsidR="0045717D">
        <w:rPr>
          <w:rFonts w:ascii="Arial" w:hAnsi="Arial" w:cs="Arial"/>
          <w:color w:val="000000"/>
        </w:rPr>
        <w:t>no</w:t>
      </w:r>
      <w:r w:rsidR="0045717D" w:rsidRPr="005F37D7">
        <w:rPr>
          <w:rFonts w:ascii="Arial" w:hAnsi="Arial" w:cs="Arial"/>
          <w:color w:val="000000"/>
        </w:rPr>
        <w:t xml:space="preserve"> effect on </w:t>
      </w:r>
      <w:r w:rsidR="0045717D">
        <w:rPr>
          <w:rFonts w:ascii="Arial" w:hAnsi="Arial" w:cs="Arial"/>
          <w:color w:val="000000"/>
        </w:rPr>
        <w:t>myogenically</w:t>
      </w:r>
      <w:r w:rsidR="0045717D">
        <w:rPr>
          <w:rFonts w:ascii="Arial" w:hAnsi="Arial" w:cs="Arial"/>
          <w:color w:val="000000"/>
        </w:rPr>
        <w:t>-</w:t>
      </w:r>
      <w:r w:rsidR="0045717D" w:rsidRPr="005F37D7">
        <w:rPr>
          <w:rFonts w:ascii="Arial" w:hAnsi="Arial" w:cs="Arial"/>
          <w:color w:val="000000"/>
        </w:rPr>
        <w:t>stimulated contraction.</w:t>
      </w:r>
    </w:p>
    <w:p w14:paraId="7A7C7ECD" w14:textId="4469F1BB" w:rsidR="005F37D7" w:rsidRPr="0078172C" w:rsidRDefault="005F37D7" w:rsidP="0078172C">
      <w:pPr>
        <w:spacing w:line="480" w:lineRule="auto"/>
        <w:ind w:firstLine="720"/>
        <w:rPr>
          <w:rFonts w:ascii="Times New Roman" w:hAnsi="Times New Roman" w:cs="Times New Roman"/>
        </w:rPr>
      </w:pPr>
      <w:r w:rsidRPr="005F37D7">
        <w:rPr>
          <w:rFonts w:ascii="Arial" w:hAnsi="Arial" w:cs="Arial"/>
          <w:color w:val="000000"/>
        </w:rPr>
        <w:t>This can be theoretically explained by the lack of activation of AChRs when myogenically stimulating a skeletal muscle (Van Maanen, 1950). Direct electrical stimulation will open voltage-gated ion channels, thus surpassing the need to open ligand-gated ion channels such as nAChR</w:t>
      </w:r>
      <w:r w:rsidR="00C3486D">
        <w:rPr>
          <w:rFonts w:ascii="Arial" w:hAnsi="Arial" w:cs="Arial"/>
          <w:color w:val="000000"/>
        </w:rPr>
        <w:t>s,</w:t>
      </w:r>
      <w:r w:rsidRPr="005F37D7">
        <w:rPr>
          <w:rFonts w:ascii="Arial" w:hAnsi="Arial" w:cs="Arial"/>
          <w:color w:val="000000"/>
        </w:rPr>
        <w:t xml:space="preserve"> to cause depolarisation. Therefore, when the neuromuscular junction preparation is stimulated myogenically, the antagonism of tubocurarine at the nAChR</w:t>
      </w:r>
      <w:r w:rsidR="006309A5">
        <w:rPr>
          <w:rFonts w:ascii="Arial" w:hAnsi="Arial" w:cs="Arial"/>
          <w:color w:val="000000"/>
        </w:rPr>
        <w:t>s</w:t>
      </w:r>
      <w:r w:rsidRPr="005F37D7">
        <w:rPr>
          <w:rFonts w:ascii="Arial" w:hAnsi="Arial" w:cs="Arial"/>
          <w:color w:val="000000"/>
        </w:rPr>
        <w:t xml:space="preserve"> plays no role in the overall contraction force of the muscle, as Upwadia et al. (1978) have shown. Though previous research has highlighted the blocking effects of tubocurarine on calcium-dependent potassium channels, these channels are not typically found in skeletal muscle (Nohmi &amp; Kuba, 1984) and therefore would have a minimal effect on </w:t>
      </w:r>
      <w:r w:rsidR="006309A5">
        <w:rPr>
          <w:rFonts w:ascii="Arial" w:hAnsi="Arial" w:cs="Arial"/>
          <w:color w:val="000000"/>
        </w:rPr>
        <w:t>the contraction of the skeletal muscle preparation present in this experiment</w:t>
      </w:r>
      <w:r w:rsidRPr="005F37D7">
        <w:rPr>
          <w:rFonts w:ascii="Arial" w:hAnsi="Arial" w:cs="Arial"/>
          <w:color w:val="000000"/>
        </w:rPr>
        <w:t xml:space="preserve">. </w:t>
      </w:r>
    </w:p>
    <w:p w14:paraId="0F3FD776" w14:textId="318278A6" w:rsidR="005F37D7" w:rsidRPr="0078172C" w:rsidRDefault="005F37D7" w:rsidP="006309A5">
      <w:pPr>
        <w:spacing w:line="480" w:lineRule="auto"/>
        <w:ind w:firstLine="720"/>
        <w:rPr>
          <w:rFonts w:ascii="Times New Roman" w:hAnsi="Times New Roman" w:cs="Times New Roman"/>
        </w:rPr>
      </w:pPr>
      <w:r w:rsidRPr="005F37D7">
        <w:rPr>
          <w:rFonts w:ascii="Arial" w:hAnsi="Arial" w:cs="Arial"/>
          <w:color w:val="000000"/>
        </w:rPr>
        <w:t>Another point of limitation is the wash control of Ringer's solution</w:t>
      </w:r>
      <w:r w:rsidR="007F3754">
        <w:rPr>
          <w:rFonts w:ascii="Arial" w:hAnsi="Arial" w:cs="Arial"/>
          <w:color w:val="000000"/>
        </w:rPr>
        <w:t xml:space="preserve"> between each successive concentration of tubocurarine</w:t>
      </w:r>
      <w:r w:rsidRPr="005F37D7">
        <w:rPr>
          <w:rFonts w:ascii="Arial" w:hAnsi="Arial" w:cs="Arial"/>
          <w:color w:val="000000"/>
        </w:rPr>
        <w:t>. This provided some degree of control, however, taking measurements of the</w:t>
      </w:r>
      <w:r w:rsidR="005D2EF5">
        <w:rPr>
          <w:rFonts w:ascii="Arial" w:hAnsi="Arial" w:cs="Arial"/>
          <w:color w:val="000000"/>
        </w:rPr>
        <w:t>se</w:t>
      </w:r>
      <w:r w:rsidRPr="005F37D7">
        <w:rPr>
          <w:rFonts w:ascii="Arial" w:hAnsi="Arial" w:cs="Arial"/>
          <w:color w:val="000000"/>
        </w:rPr>
        <w:t xml:space="preserve"> force produced </w:t>
      </w:r>
      <w:r w:rsidR="00411982">
        <w:rPr>
          <w:rFonts w:ascii="Arial" w:hAnsi="Arial" w:cs="Arial"/>
          <w:color w:val="000000"/>
        </w:rPr>
        <w:t xml:space="preserve">during washes </w:t>
      </w:r>
      <w:r w:rsidRPr="005F37D7">
        <w:rPr>
          <w:rFonts w:ascii="Arial" w:hAnsi="Arial" w:cs="Arial"/>
          <w:color w:val="000000"/>
        </w:rPr>
        <w:t xml:space="preserve">in Ringer's </w:t>
      </w:r>
      <w:r w:rsidR="005D2EF5">
        <w:rPr>
          <w:rFonts w:ascii="Arial" w:hAnsi="Arial" w:cs="Arial"/>
          <w:color w:val="000000"/>
        </w:rPr>
        <w:t xml:space="preserve">solution </w:t>
      </w:r>
      <w:r w:rsidRPr="005F37D7">
        <w:rPr>
          <w:rFonts w:ascii="Arial" w:hAnsi="Arial" w:cs="Arial"/>
          <w:color w:val="000000"/>
        </w:rPr>
        <w:t>would provide a reliable baseline from which to compare results</w:t>
      </w:r>
      <w:r w:rsidR="005D2EF5">
        <w:rPr>
          <w:rFonts w:ascii="Arial" w:hAnsi="Arial" w:cs="Arial"/>
          <w:color w:val="000000"/>
        </w:rPr>
        <w:t xml:space="preserve">. This would also </w:t>
      </w:r>
      <w:r w:rsidRPr="005F37D7">
        <w:rPr>
          <w:rFonts w:ascii="Arial" w:hAnsi="Arial" w:cs="Arial"/>
          <w:color w:val="000000"/>
        </w:rPr>
        <w:t xml:space="preserve">ensure that the tubocurarine had been completely washed out from the preparation and was no longer bound to the nAChRs. </w:t>
      </w:r>
      <w:r w:rsidR="001A4ECC">
        <w:rPr>
          <w:rFonts w:ascii="Arial" w:hAnsi="Arial" w:cs="Arial"/>
          <w:color w:val="000000"/>
        </w:rPr>
        <w:t xml:space="preserve">Furthermore, it would </w:t>
      </w:r>
      <w:r w:rsidRPr="005F37D7">
        <w:rPr>
          <w:rFonts w:ascii="Arial" w:hAnsi="Arial" w:cs="Arial"/>
          <w:color w:val="000000"/>
        </w:rPr>
        <w:t xml:space="preserve">provide a mechanism by which to observe whether the muscle parameters vary slightly over time with atmospheric conditions or if the </w:t>
      </w:r>
      <w:r w:rsidR="00D54A7F">
        <w:rPr>
          <w:rFonts w:ascii="Arial" w:hAnsi="Arial" w:cs="Arial"/>
          <w:color w:val="000000"/>
        </w:rPr>
        <w:t xml:space="preserve">gastrocnemius </w:t>
      </w:r>
      <w:r w:rsidRPr="005F37D7">
        <w:rPr>
          <w:rFonts w:ascii="Arial" w:hAnsi="Arial" w:cs="Arial"/>
          <w:color w:val="000000"/>
        </w:rPr>
        <w:t xml:space="preserve">muscle fatigues. </w:t>
      </w:r>
    </w:p>
    <w:p w14:paraId="2A549073" w14:textId="45627C90" w:rsidR="00EC2FAF" w:rsidRDefault="005F37D7" w:rsidP="00EC2FAF">
      <w:pPr>
        <w:spacing w:line="480" w:lineRule="auto"/>
        <w:ind w:firstLine="720"/>
        <w:rPr>
          <w:rFonts w:ascii="Arial" w:hAnsi="Arial" w:cs="Arial"/>
          <w:color w:val="000000"/>
        </w:rPr>
      </w:pPr>
      <w:r w:rsidRPr="005F37D7">
        <w:rPr>
          <w:rFonts w:ascii="Arial" w:hAnsi="Arial" w:cs="Arial"/>
          <w:color w:val="000000"/>
        </w:rPr>
        <w:t>Furthermore, the length of time that the muscle remained in each concentration of tubocurarine solution before measurements were taken may have affected the results. Of</w:t>
      </w:r>
      <w:r w:rsidR="000134C5">
        <w:rPr>
          <w:rFonts w:ascii="Arial" w:hAnsi="Arial" w:cs="Arial"/>
          <w:color w:val="000000"/>
        </w:rPr>
        <w:t xml:space="preserve"> the</w:t>
      </w:r>
      <w:r w:rsidRPr="005F37D7">
        <w:rPr>
          <w:rFonts w:ascii="Arial" w:hAnsi="Arial" w:cs="Arial"/>
          <w:color w:val="000000"/>
        </w:rPr>
        <w:t xml:space="preserve"> known cholinergic antagonists, tubocurarine has one of the slowest effects, taking up to 5 minutes to equilibrate with its receptors (Armstrong &amp; Lester, 1979).</w:t>
      </w:r>
      <w:r w:rsidRPr="005F37D7">
        <w:rPr>
          <w:rFonts w:ascii="Arial" w:hAnsi="Arial" w:cs="Arial"/>
          <w:color w:val="FF0000"/>
        </w:rPr>
        <w:t xml:space="preserve"> </w:t>
      </w:r>
      <w:r w:rsidRPr="005F37D7">
        <w:rPr>
          <w:rFonts w:ascii="Arial" w:hAnsi="Arial" w:cs="Arial"/>
          <w:color w:val="000000"/>
        </w:rPr>
        <w:t> </w:t>
      </w:r>
      <w:r w:rsidR="000134C5">
        <w:rPr>
          <w:rFonts w:ascii="Arial" w:hAnsi="Arial" w:cs="Arial"/>
          <w:color w:val="000000"/>
        </w:rPr>
        <w:t>Hence, further</w:t>
      </w:r>
      <w:r w:rsidRPr="005F37D7">
        <w:rPr>
          <w:rFonts w:ascii="Arial" w:hAnsi="Arial" w:cs="Arial"/>
          <w:color w:val="000000"/>
        </w:rPr>
        <w:t xml:space="preserve"> experimentation should let the muscle preparation equilibrate with the receptor for the same amount of time for each concentration of tubocurarine</w:t>
      </w:r>
      <w:r w:rsidR="000134C5">
        <w:rPr>
          <w:rFonts w:ascii="Arial" w:hAnsi="Arial" w:cs="Arial"/>
          <w:color w:val="000000"/>
        </w:rPr>
        <w:t>,</w:t>
      </w:r>
      <w:r w:rsidRPr="005F37D7">
        <w:rPr>
          <w:rFonts w:ascii="Arial" w:hAnsi="Arial" w:cs="Arial"/>
          <w:color w:val="000000"/>
        </w:rPr>
        <w:t xml:space="preserve"> before the muscle is stimulated. Alternatively, a time course of the muscle response could be conducted for the same effect.</w:t>
      </w:r>
    </w:p>
    <w:p w14:paraId="1DB3619D" w14:textId="3E834496" w:rsidR="0078172C" w:rsidRDefault="00EC2FAF" w:rsidP="00E96C34">
      <w:pPr>
        <w:spacing w:line="480" w:lineRule="auto"/>
        <w:ind w:firstLine="720"/>
        <w:rPr>
          <w:rFonts w:ascii="Arial" w:hAnsi="Arial" w:cs="Arial"/>
          <w:color w:val="000000"/>
        </w:rPr>
      </w:pPr>
      <w:r>
        <w:rPr>
          <w:rFonts w:ascii="Arial" w:hAnsi="Arial" w:cs="Arial"/>
          <w:color w:val="000000"/>
        </w:rPr>
        <w:t>In conclusion</w:t>
      </w:r>
      <w:r w:rsidR="00C90B8F">
        <w:rPr>
          <w:rFonts w:ascii="Arial" w:hAnsi="Arial" w:cs="Arial"/>
          <w:color w:val="000000"/>
        </w:rPr>
        <w:t xml:space="preserve">, preliminary findings have shown that tubocurarine </w:t>
      </w:r>
      <w:r w:rsidR="00EE24DE">
        <w:rPr>
          <w:rFonts w:ascii="Arial" w:hAnsi="Arial" w:cs="Arial"/>
          <w:color w:val="000000"/>
        </w:rPr>
        <w:t xml:space="preserve">decreases the force of muscle contraction from neurogenic stimulation, but not myogenic stimulation, in an isolated cane toad sciatic nerve-gastrocnemius muscle preparation. Future experiments could consider the variables of time taken </w:t>
      </w:r>
      <w:r w:rsidR="00EB4447">
        <w:rPr>
          <w:rFonts w:ascii="Arial" w:hAnsi="Arial" w:cs="Arial"/>
          <w:color w:val="000000"/>
        </w:rPr>
        <w:t xml:space="preserve">of the muscle to equilibriate with tubocurarine, </w:t>
      </w:r>
      <w:r w:rsidR="000B35D3">
        <w:rPr>
          <w:rFonts w:ascii="Arial" w:hAnsi="Arial" w:cs="Arial"/>
          <w:color w:val="000000"/>
        </w:rPr>
        <w:t xml:space="preserve">and also </w:t>
      </w:r>
      <w:r w:rsidR="00EB4447">
        <w:rPr>
          <w:rFonts w:ascii="Arial" w:hAnsi="Arial" w:cs="Arial"/>
          <w:color w:val="000000"/>
        </w:rPr>
        <w:t>repeating with multiple preparations</w:t>
      </w:r>
      <w:r w:rsidR="000B35D3">
        <w:rPr>
          <w:rFonts w:ascii="Arial" w:hAnsi="Arial" w:cs="Arial"/>
          <w:color w:val="000000"/>
        </w:rPr>
        <w:t xml:space="preserve">, </w:t>
      </w:r>
      <w:r w:rsidR="00EB4447">
        <w:rPr>
          <w:rFonts w:ascii="Arial" w:hAnsi="Arial" w:cs="Arial"/>
          <w:color w:val="000000"/>
        </w:rPr>
        <w:t>with complete washes of Ringer’s solution as a control measured in between</w:t>
      </w:r>
      <w:r w:rsidR="000B35D3">
        <w:rPr>
          <w:rFonts w:ascii="Arial" w:hAnsi="Arial" w:cs="Arial"/>
          <w:color w:val="000000"/>
        </w:rPr>
        <w:t xml:space="preserve"> concentrations of tubocurarine. </w:t>
      </w:r>
    </w:p>
    <w:p w14:paraId="720819E7" w14:textId="77777777" w:rsidR="007E2EB0" w:rsidRPr="00E96C34" w:rsidRDefault="007E2EB0" w:rsidP="00E96C34">
      <w:pPr>
        <w:spacing w:line="480" w:lineRule="auto"/>
        <w:ind w:firstLine="720"/>
        <w:rPr>
          <w:rFonts w:ascii="Times New Roman" w:hAnsi="Times New Roman" w:cs="Times New Roman"/>
        </w:rPr>
      </w:pPr>
      <w:bookmarkStart w:id="0" w:name="_GoBack"/>
      <w:bookmarkEnd w:id="0"/>
    </w:p>
    <w:p w14:paraId="1DB14D35" w14:textId="77777777" w:rsidR="005F37D7" w:rsidRPr="005F37D7" w:rsidRDefault="005F37D7" w:rsidP="005F37D7">
      <w:pPr>
        <w:spacing w:line="480" w:lineRule="auto"/>
        <w:rPr>
          <w:rFonts w:ascii="Times New Roman" w:hAnsi="Times New Roman" w:cs="Times New Roman"/>
        </w:rPr>
      </w:pPr>
      <w:r w:rsidRPr="005F37D7">
        <w:rPr>
          <w:rFonts w:ascii="Arial" w:hAnsi="Arial" w:cs="Arial"/>
          <w:b/>
          <w:bCs/>
          <w:color w:val="000000"/>
        </w:rPr>
        <w:t>References</w:t>
      </w:r>
    </w:p>
    <w:p w14:paraId="2D4DC6BE" w14:textId="157C63B7" w:rsidR="005F37D7" w:rsidRPr="002A22ED"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Armstrong, D. &amp; Lester, H. (1979). The kinetics of tubocurarine action and restricted diffusion within the synaptic cleft. </w:t>
      </w:r>
      <w:r w:rsidRPr="005F37D7">
        <w:rPr>
          <w:rFonts w:ascii="Arial" w:hAnsi="Arial" w:cs="Arial"/>
          <w:i/>
          <w:iCs/>
          <w:color w:val="000000"/>
        </w:rPr>
        <w:t>The Journal Of Physiology</w:t>
      </w:r>
      <w:r w:rsidRPr="005F37D7">
        <w:rPr>
          <w:rFonts w:ascii="Arial" w:hAnsi="Arial" w:cs="Arial"/>
          <w:color w:val="000000"/>
        </w:rPr>
        <w:t xml:space="preserve">, </w:t>
      </w:r>
      <w:r w:rsidRPr="005F37D7">
        <w:rPr>
          <w:rFonts w:ascii="Arial" w:hAnsi="Arial" w:cs="Arial"/>
          <w:i/>
          <w:iCs/>
          <w:color w:val="000000"/>
        </w:rPr>
        <w:t>294</w:t>
      </w:r>
      <w:r w:rsidRPr="005F37D7">
        <w:rPr>
          <w:rFonts w:ascii="Arial" w:hAnsi="Arial" w:cs="Arial"/>
          <w:color w:val="000000"/>
        </w:rPr>
        <w:t xml:space="preserve">(1), 365-386. </w:t>
      </w:r>
    </w:p>
    <w:p w14:paraId="4FC110CE" w14:textId="485E424A" w:rsidR="005F37D7" w:rsidRPr="00102A27"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Bechter A. M.  (1977). The civilizing of curare: a history of its development and introduction into anesthesiology. </w:t>
      </w:r>
      <w:r w:rsidRPr="005F37D7">
        <w:rPr>
          <w:rFonts w:ascii="Arial" w:hAnsi="Arial" w:cs="Arial"/>
          <w:i/>
          <w:iCs/>
          <w:color w:val="000000"/>
        </w:rPr>
        <w:t>Anesthesia and Analgesia,</w:t>
      </w:r>
      <w:r w:rsidRPr="005F37D7">
        <w:rPr>
          <w:rFonts w:ascii="Arial" w:hAnsi="Arial" w:cs="Arial"/>
          <w:color w:val="000000"/>
        </w:rPr>
        <w:t xml:space="preserve"> 56(2): 305–319.</w:t>
      </w:r>
    </w:p>
    <w:p w14:paraId="1050946B" w14:textId="6321DA46" w:rsidR="005F37D7" w:rsidRPr="00102A27"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Blair, H. (1937). The effect of acetylcholine on the excitability of the frog's sartorius muscle. </w:t>
      </w:r>
      <w:r w:rsidRPr="005F37D7">
        <w:rPr>
          <w:rFonts w:ascii="Arial" w:hAnsi="Arial" w:cs="Arial"/>
          <w:i/>
          <w:iCs/>
          <w:color w:val="000000"/>
        </w:rPr>
        <w:t>American Journal Of Physiology,</w:t>
      </w:r>
      <w:r w:rsidRPr="005F37D7">
        <w:rPr>
          <w:rFonts w:ascii="Arial" w:hAnsi="Arial" w:cs="Arial"/>
          <w:color w:val="000000"/>
        </w:rPr>
        <w:t xml:space="preserve"> 124(2), 372-378.</w:t>
      </w:r>
    </w:p>
    <w:p w14:paraId="70AFEB5D" w14:textId="24BF993B" w:rsidR="005F37D7" w:rsidRPr="00102A27"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Castillo, J. &amp; Katz, B (1955). On the localisation of acetylcholine receptors. </w:t>
      </w:r>
      <w:r w:rsidRPr="005F37D7">
        <w:rPr>
          <w:rFonts w:ascii="Arial" w:hAnsi="Arial" w:cs="Arial"/>
          <w:i/>
          <w:iCs/>
          <w:color w:val="000000"/>
        </w:rPr>
        <w:t>Journal of Physiology,</w:t>
      </w:r>
      <w:r w:rsidRPr="005F37D7">
        <w:rPr>
          <w:rFonts w:ascii="Arial" w:hAnsi="Arial" w:cs="Arial"/>
          <w:color w:val="000000"/>
        </w:rPr>
        <w:t xml:space="preserve"> 128, 157-181</w:t>
      </w:r>
    </w:p>
    <w:p w14:paraId="21D22025" w14:textId="65663231" w:rsidR="005F37D7" w:rsidRPr="00102A27"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Close, R. &amp; Hoh, J. (1968). The after-effects of repetitive stimulation on the isometric twitch contraction of rat fast skeletal muscle. </w:t>
      </w:r>
      <w:r w:rsidRPr="005F37D7">
        <w:rPr>
          <w:rFonts w:ascii="Arial" w:hAnsi="Arial" w:cs="Arial"/>
          <w:i/>
          <w:iCs/>
          <w:color w:val="000000"/>
        </w:rPr>
        <w:t>The Journal Of Physiology,</w:t>
      </w:r>
      <w:r w:rsidRPr="005F37D7">
        <w:rPr>
          <w:rFonts w:ascii="Arial" w:hAnsi="Arial" w:cs="Arial"/>
          <w:color w:val="000000"/>
        </w:rPr>
        <w:t xml:space="preserve"> 197(2), 461-477. </w:t>
      </w:r>
    </w:p>
    <w:p w14:paraId="1527E6A3" w14:textId="77777777" w:rsidR="005F37D7" w:rsidRDefault="005F37D7" w:rsidP="00A91D69">
      <w:pPr>
        <w:spacing w:line="276" w:lineRule="auto"/>
        <w:ind w:firstLine="720"/>
        <w:rPr>
          <w:rFonts w:ascii="Arial" w:hAnsi="Arial" w:cs="Arial"/>
          <w:color w:val="000000"/>
        </w:rPr>
      </w:pPr>
      <w:r w:rsidRPr="005F37D7">
        <w:rPr>
          <w:rFonts w:ascii="Arial" w:hAnsi="Arial" w:cs="Arial"/>
          <w:color w:val="000000"/>
        </w:rPr>
        <w:t xml:space="preserve">Gray, T. &amp; Halton, J. (1946). A Milestone in Anaesthesia?(d-Tubocurarine Chloride). </w:t>
      </w:r>
      <w:r w:rsidRPr="005F37D7">
        <w:rPr>
          <w:rFonts w:ascii="Arial" w:hAnsi="Arial" w:cs="Arial"/>
          <w:i/>
          <w:iCs/>
          <w:color w:val="000000"/>
        </w:rPr>
        <w:t>Proceedings of the Royal Society of Medicine</w:t>
      </w:r>
      <w:r w:rsidRPr="005F37D7">
        <w:rPr>
          <w:rFonts w:ascii="Arial" w:hAnsi="Arial" w:cs="Arial"/>
          <w:color w:val="000000"/>
        </w:rPr>
        <w:t>, 39, 400-408</w:t>
      </w:r>
    </w:p>
    <w:p w14:paraId="35F7EE15" w14:textId="11CFC05A" w:rsidR="006109A8" w:rsidRPr="005F37D7" w:rsidRDefault="006109A8" w:rsidP="00A91D69">
      <w:pPr>
        <w:spacing w:line="276" w:lineRule="auto"/>
        <w:ind w:firstLine="720"/>
        <w:rPr>
          <w:rFonts w:ascii="Times New Roman" w:hAnsi="Times New Roman" w:cs="Times New Roman"/>
        </w:rPr>
      </w:pPr>
      <w:r>
        <w:rPr>
          <w:rFonts w:ascii="Arial" w:hAnsi="Arial" w:cs="Arial"/>
          <w:color w:val="000000"/>
        </w:rPr>
        <w:t xml:space="preserve">Hartzell H.C., Kuffler S.W., Yoshikami D. (1975). </w:t>
      </w:r>
      <w:r w:rsidRPr="006109A8">
        <w:rPr>
          <w:rFonts w:ascii="Arial" w:hAnsi="Arial" w:cs="Arial"/>
          <w:color w:val="000000"/>
        </w:rPr>
        <w:t xml:space="preserve">Post-synaptic potentiation: interaction between quanta of acetylcholine at the skeletal neuromuscular synapse. </w:t>
      </w:r>
      <w:r>
        <w:rPr>
          <w:rFonts w:ascii="Arial" w:hAnsi="Arial" w:cs="Arial"/>
          <w:i/>
          <w:color w:val="000000"/>
        </w:rPr>
        <w:t xml:space="preserve">Journal of Physiology, </w:t>
      </w:r>
      <w:r>
        <w:rPr>
          <w:rFonts w:ascii="Arial" w:hAnsi="Arial" w:cs="Arial"/>
          <w:color w:val="000000"/>
        </w:rPr>
        <w:t xml:space="preserve">251(2), </w:t>
      </w:r>
      <w:r w:rsidRPr="006109A8">
        <w:rPr>
          <w:rFonts w:ascii="Arial" w:hAnsi="Arial" w:cs="Arial"/>
          <w:color w:val="000000"/>
        </w:rPr>
        <w:t>427-63.</w:t>
      </w:r>
    </w:p>
    <w:p w14:paraId="79817312" w14:textId="73697B98" w:rsidR="005F37D7" w:rsidRPr="00102A27"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Jenkinson D.H. (1960). The antagonism between tubocurarine and substances which depolarise the motor end-plate. </w:t>
      </w:r>
      <w:r w:rsidRPr="005F37D7">
        <w:rPr>
          <w:rFonts w:ascii="Arial" w:hAnsi="Arial" w:cs="Arial"/>
          <w:i/>
          <w:iCs/>
          <w:color w:val="000000"/>
        </w:rPr>
        <w:t>Journal of</w:t>
      </w:r>
      <w:r w:rsidRPr="005F37D7">
        <w:rPr>
          <w:rFonts w:ascii="Arial" w:hAnsi="Arial" w:cs="Arial"/>
          <w:color w:val="000000"/>
        </w:rPr>
        <w:t xml:space="preserve"> </w:t>
      </w:r>
      <w:r w:rsidRPr="005F37D7">
        <w:rPr>
          <w:rFonts w:ascii="Arial" w:hAnsi="Arial" w:cs="Arial"/>
          <w:i/>
          <w:iCs/>
          <w:color w:val="000000"/>
        </w:rPr>
        <w:t>Physiology,</w:t>
      </w:r>
      <w:r w:rsidRPr="005F37D7">
        <w:rPr>
          <w:rFonts w:ascii="Arial" w:hAnsi="Arial" w:cs="Arial"/>
          <w:color w:val="000000"/>
        </w:rPr>
        <w:t xml:space="preserve"> 152, 309-324</w:t>
      </w:r>
      <w:r w:rsidR="006109A8">
        <w:rPr>
          <w:rFonts w:ascii="Arial" w:hAnsi="Arial" w:cs="Arial"/>
          <w:color w:val="000000"/>
        </w:rPr>
        <w:t>,</w:t>
      </w:r>
    </w:p>
    <w:p w14:paraId="0AD8D414" w14:textId="57E6FA41" w:rsidR="005F37D7" w:rsidRPr="0078172C"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Miledi R. &amp; Potter L.T. (1971).  Acetylcholine receptors in muscle fibres. </w:t>
      </w:r>
      <w:r w:rsidRPr="005F37D7">
        <w:rPr>
          <w:rFonts w:ascii="Arial" w:hAnsi="Arial" w:cs="Arial"/>
          <w:i/>
          <w:iCs/>
          <w:color w:val="000000"/>
        </w:rPr>
        <w:t>Nature</w:t>
      </w:r>
      <w:r w:rsidR="008401BB">
        <w:rPr>
          <w:rFonts w:ascii="Arial" w:hAnsi="Arial" w:cs="Arial"/>
          <w:color w:val="000000"/>
        </w:rPr>
        <w:t>, 233,</w:t>
      </w:r>
      <w:r w:rsidRPr="005F37D7">
        <w:rPr>
          <w:rFonts w:ascii="Arial" w:hAnsi="Arial" w:cs="Arial"/>
          <w:color w:val="000000"/>
        </w:rPr>
        <w:t xml:space="preserve"> 599–603.</w:t>
      </w:r>
    </w:p>
    <w:p w14:paraId="36D0FCD1" w14:textId="77777777" w:rsidR="0078172C"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Nohmi, M. &amp; Kuba, K. (1984). (+)-Tubocurarine blocks the Ca 2+-dependent K+-channel of the bullfrog sympathetic ganglion cell. </w:t>
      </w:r>
      <w:r w:rsidRPr="005F37D7">
        <w:rPr>
          <w:rFonts w:ascii="Arial" w:hAnsi="Arial" w:cs="Arial"/>
          <w:i/>
          <w:iCs/>
          <w:color w:val="000000"/>
        </w:rPr>
        <w:t>Brain research</w:t>
      </w:r>
      <w:r w:rsidRPr="005F37D7">
        <w:rPr>
          <w:rFonts w:ascii="Arial" w:hAnsi="Arial" w:cs="Arial"/>
          <w:color w:val="000000"/>
        </w:rPr>
        <w:t>, 301(1), 146-148.</w:t>
      </w:r>
    </w:p>
    <w:p w14:paraId="4447F954" w14:textId="076DFE1E" w:rsidR="005F37D7" w:rsidRPr="00A91D69"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Ochs, S. &amp; Mukherjee, K. (1959). Action of acetylcholine, choline and D-tubocurarine on the membrane of frog sartorius muscle fibers. </w:t>
      </w:r>
      <w:r w:rsidRPr="005F37D7">
        <w:rPr>
          <w:rFonts w:ascii="Arial" w:hAnsi="Arial" w:cs="Arial"/>
          <w:i/>
          <w:iCs/>
          <w:color w:val="000000"/>
        </w:rPr>
        <w:t>American Journal Of Psychology</w:t>
      </w:r>
      <w:r w:rsidRPr="005F37D7">
        <w:rPr>
          <w:rFonts w:ascii="Arial" w:hAnsi="Arial" w:cs="Arial"/>
          <w:color w:val="000000"/>
        </w:rPr>
        <w:t xml:space="preserve">, </w:t>
      </w:r>
      <w:r w:rsidRPr="005F37D7">
        <w:rPr>
          <w:rFonts w:ascii="Arial" w:hAnsi="Arial" w:cs="Arial"/>
          <w:i/>
          <w:iCs/>
          <w:color w:val="000000"/>
        </w:rPr>
        <w:t>196</w:t>
      </w:r>
      <w:r w:rsidRPr="005F37D7">
        <w:rPr>
          <w:rFonts w:ascii="Arial" w:hAnsi="Arial" w:cs="Arial"/>
          <w:color w:val="000000"/>
        </w:rPr>
        <w:t>, 1191-1196.</w:t>
      </w:r>
    </w:p>
    <w:p w14:paraId="42F60736" w14:textId="21BA7A8D" w:rsidR="005F37D7" w:rsidRPr="00A91D69"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Steinbach, J. &amp; Chen, Q. (1995). Antagonist and Partial Agonist Actions of d-Tubocurarine at Mammalian Muscle Acetylcholine Receptors. </w:t>
      </w:r>
      <w:r w:rsidRPr="005F37D7">
        <w:rPr>
          <w:rFonts w:ascii="Arial" w:hAnsi="Arial" w:cs="Arial"/>
          <w:i/>
          <w:iCs/>
          <w:color w:val="000000"/>
        </w:rPr>
        <w:t>The Journal of Neuroscience,</w:t>
      </w:r>
      <w:r w:rsidRPr="005F37D7">
        <w:rPr>
          <w:rFonts w:ascii="Arial" w:hAnsi="Arial" w:cs="Arial"/>
          <w:color w:val="000000"/>
        </w:rPr>
        <w:t xml:space="preserve"> 15(1), 230-240.</w:t>
      </w:r>
    </w:p>
    <w:p w14:paraId="7ABFBE3A" w14:textId="09FC28CD" w:rsidR="005F37D7" w:rsidRPr="00A91D69"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Udwadia, B.P., Gokhale, S.V., Barbhaiya, H.C, Vaishnav, H.S. (1978). The effect of tubocurarine and suxamethonium on directly and indirectly elicited contractions of skeletal muscle in unanaesthetized man using single and train of four impulses. </w:t>
      </w:r>
      <w:r w:rsidRPr="005F37D7">
        <w:rPr>
          <w:rFonts w:ascii="Arial" w:hAnsi="Arial" w:cs="Arial"/>
          <w:i/>
          <w:iCs/>
          <w:color w:val="000000"/>
        </w:rPr>
        <w:t>Journal of Clinical Pharmacology</w:t>
      </w:r>
      <w:r w:rsidRPr="005F37D7">
        <w:rPr>
          <w:rFonts w:ascii="Arial" w:hAnsi="Arial" w:cs="Arial"/>
          <w:color w:val="000000"/>
        </w:rPr>
        <w:t>, 5, 131-134</w:t>
      </w:r>
    </w:p>
    <w:p w14:paraId="5BE2CC3F" w14:textId="29B5EF14" w:rsidR="005F37D7" w:rsidRPr="00A91D69" w:rsidRDefault="005F37D7" w:rsidP="00A91D69">
      <w:pPr>
        <w:spacing w:line="276" w:lineRule="auto"/>
        <w:ind w:firstLine="720"/>
        <w:rPr>
          <w:rFonts w:ascii="Times New Roman" w:hAnsi="Times New Roman" w:cs="Times New Roman"/>
        </w:rPr>
      </w:pPr>
      <w:r w:rsidRPr="005F37D7">
        <w:rPr>
          <w:rFonts w:ascii="Arial" w:hAnsi="Arial" w:cs="Arial"/>
          <w:color w:val="000000"/>
        </w:rPr>
        <w:t>University of Sydney. Advanced Integrated Physiology Neuromuscular Junction Prac. (2016) pg 1-8 (https://elearning.sydney.edu.au/webapps/blackboard/execute/content/file?cmd=view&amp;mode=designer&amp;content_id=_3595024_1&amp;course_id=_57528_1)</w:t>
      </w:r>
    </w:p>
    <w:p w14:paraId="49EA98EC" w14:textId="35CD40C1" w:rsidR="00C706AF" w:rsidRPr="00A91D69" w:rsidRDefault="005F37D7" w:rsidP="00A91D69">
      <w:pPr>
        <w:spacing w:line="276" w:lineRule="auto"/>
        <w:ind w:firstLine="720"/>
        <w:rPr>
          <w:rFonts w:ascii="Times New Roman" w:hAnsi="Times New Roman" w:cs="Times New Roman"/>
        </w:rPr>
      </w:pPr>
      <w:r w:rsidRPr="005F37D7">
        <w:rPr>
          <w:rFonts w:ascii="Arial" w:hAnsi="Arial" w:cs="Arial"/>
          <w:color w:val="000000"/>
        </w:rPr>
        <w:t xml:space="preserve">Van Maanen, E. (1950). The antagonism between acetylcholine and the curare alkaloids, d-Tubocurarine, c-Curarine-I, c-Toxiferine-II and erythroidine in the rectus abdominis of the frog. </w:t>
      </w:r>
      <w:r w:rsidRPr="005F37D7">
        <w:rPr>
          <w:rFonts w:ascii="Arial" w:hAnsi="Arial" w:cs="Arial"/>
          <w:i/>
          <w:iCs/>
          <w:color w:val="000000"/>
        </w:rPr>
        <w:t>Journal Of Pharmacology</w:t>
      </w:r>
      <w:r w:rsidRPr="005F37D7">
        <w:rPr>
          <w:rFonts w:ascii="Arial" w:hAnsi="Arial" w:cs="Arial"/>
          <w:color w:val="000000"/>
        </w:rPr>
        <w:t xml:space="preserve">, </w:t>
      </w:r>
      <w:r w:rsidRPr="005F37D7">
        <w:rPr>
          <w:rFonts w:ascii="Arial" w:hAnsi="Arial" w:cs="Arial"/>
          <w:i/>
          <w:iCs/>
          <w:color w:val="000000"/>
        </w:rPr>
        <w:t>99</w:t>
      </w:r>
      <w:r w:rsidRPr="005F37D7">
        <w:rPr>
          <w:rFonts w:ascii="Arial" w:hAnsi="Arial" w:cs="Arial"/>
          <w:color w:val="000000"/>
        </w:rPr>
        <w:t>, 255-264.</w:t>
      </w:r>
    </w:p>
    <w:sectPr w:rsidR="00C706AF" w:rsidRPr="00A91D69" w:rsidSect="00DF58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9F"/>
    <w:rsid w:val="000134C5"/>
    <w:rsid w:val="00016CBE"/>
    <w:rsid w:val="00073B3B"/>
    <w:rsid w:val="000B35D3"/>
    <w:rsid w:val="001014E9"/>
    <w:rsid w:val="00102A27"/>
    <w:rsid w:val="001A4ECC"/>
    <w:rsid w:val="001E0186"/>
    <w:rsid w:val="0026732E"/>
    <w:rsid w:val="0027310D"/>
    <w:rsid w:val="002A22ED"/>
    <w:rsid w:val="002A5742"/>
    <w:rsid w:val="00362DF4"/>
    <w:rsid w:val="00375A9E"/>
    <w:rsid w:val="003766BF"/>
    <w:rsid w:val="00396F4E"/>
    <w:rsid w:val="003E5F7F"/>
    <w:rsid w:val="00411982"/>
    <w:rsid w:val="004121BF"/>
    <w:rsid w:val="0045717D"/>
    <w:rsid w:val="004A6675"/>
    <w:rsid w:val="004F3DD0"/>
    <w:rsid w:val="004F5977"/>
    <w:rsid w:val="005125D1"/>
    <w:rsid w:val="00527182"/>
    <w:rsid w:val="00541A6A"/>
    <w:rsid w:val="00572766"/>
    <w:rsid w:val="005906F1"/>
    <w:rsid w:val="005B33BF"/>
    <w:rsid w:val="005D2EF5"/>
    <w:rsid w:val="005F37D7"/>
    <w:rsid w:val="005F776D"/>
    <w:rsid w:val="00606CA1"/>
    <w:rsid w:val="006109A8"/>
    <w:rsid w:val="006309A5"/>
    <w:rsid w:val="00666DDA"/>
    <w:rsid w:val="00675173"/>
    <w:rsid w:val="007473B0"/>
    <w:rsid w:val="007505E7"/>
    <w:rsid w:val="0078172C"/>
    <w:rsid w:val="0079729D"/>
    <w:rsid w:val="007E2EB0"/>
    <w:rsid w:val="007F3754"/>
    <w:rsid w:val="007F3B1B"/>
    <w:rsid w:val="0081067E"/>
    <w:rsid w:val="008137CB"/>
    <w:rsid w:val="008401BB"/>
    <w:rsid w:val="0085000C"/>
    <w:rsid w:val="0088546F"/>
    <w:rsid w:val="008A691B"/>
    <w:rsid w:val="009A2C23"/>
    <w:rsid w:val="009A34EE"/>
    <w:rsid w:val="00A1277A"/>
    <w:rsid w:val="00A178D7"/>
    <w:rsid w:val="00A50392"/>
    <w:rsid w:val="00A8351D"/>
    <w:rsid w:val="00A91D69"/>
    <w:rsid w:val="00AB5FCF"/>
    <w:rsid w:val="00AE13C5"/>
    <w:rsid w:val="00AE3366"/>
    <w:rsid w:val="00B2751A"/>
    <w:rsid w:val="00B601EE"/>
    <w:rsid w:val="00B801EA"/>
    <w:rsid w:val="00BB2004"/>
    <w:rsid w:val="00C21F09"/>
    <w:rsid w:val="00C3486D"/>
    <w:rsid w:val="00C61C97"/>
    <w:rsid w:val="00C648AA"/>
    <w:rsid w:val="00C706AF"/>
    <w:rsid w:val="00C90B8F"/>
    <w:rsid w:val="00D5089F"/>
    <w:rsid w:val="00D54A7F"/>
    <w:rsid w:val="00DA602D"/>
    <w:rsid w:val="00DF580F"/>
    <w:rsid w:val="00E052F6"/>
    <w:rsid w:val="00E812A6"/>
    <w:rsid w:val="00E872CA"/>
    <w:rsid w:val="00E96C34"/>
    <w:rsid w:val="00EB4447"/>
    <w:rsid w:val="00EC2FAF"/>
    <w:rsid w:val="00EE24DE"/>
    <w:rsid w:val="00F01FE6"/>
    <w:rsid w:val="00F040ED"/>
    <w:rsid w:val="00FC7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E0A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33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583774">
      <w:bodyDiv w:val="1"/>
      <w:marLeft w:val="0"/>
      <w:marRight w:val="0"/>
      <w:marTop w:val="0"/>
      <w:marBottom w:val="0"/>
      <w:divBdr>
        <w:top w:val="none" w:sz="0" w:space="0" w:color="auto"/>
        <w:left w:val="none" w:sz="0" w:space="0" w:color="auto"/>
        <w:bottom w:val="none" w:sz="0" w:space="0" w:color="auto"/>
        <w:right w:val="none" w:sz="0" w:space="0" w:color="auto"/>
      </w:divBdr>
      <w:divsChild>
        <w:div w:id="1276449548">
          <w:marLeft w:val="0"/>
          <w:marRight w:val="0"/>
          <w:marTop w:val="0"/>
          <w:marBottom w:val="0"/>
          <w:divBdr>
            <w:top w:val="none" w:sz="0" w:space="0" w:color="auto"/>
            <w:left w:val="none" w:sz="0" w:space="0" w:color="auto"/>
            <w:bottom w:val="none" w:sz="0" w:space="0" w:color="auto"/>
            <w:right w:val="none" w:sz="0" w:space="0" w:color="auto"/>
          </w:divBdr>
        </w:div>
        <w:div w:id="2116632840">
          <w:marLeft w:val="0"/>
          <w:marRight w:val="0"/>
          <w:marTop w:val="0"/>
          <w:marBottom w:val="0"/>
          <w:divBdr>
            <w:top w:val="none" w:sz="0" w:space="0" w:color="auto"/>
            <w:left w:val="none" w:sz="0" w:space="0" w:color="auto"/>
            <w:bottom w:val="none" w:sz="0" w:space="0" w:color="auto"/>
            <w:right w:val="none" w:sz="0" w:space="0" w:color="auto"/>
          </w:divBdr>
        </w:div>
      </w:divsChild>
    </w:div>
    <w:div w:id="1263682018">
      <w:bodyDiv w:val="1"/>
      <w:marLeft w:val="0"/>
      <w:marRight w:val="0"/>
      <w:marTop w:val="0"/>
      <w:marBottom w:val="0"/>
      <w:divBdr>
        <w:top w:val="none" w:sz="0" w:space="0" w:color="auto"/>
        <w:left w:val="none" w:sz="0" w:space="0" w:color="auto"/>
        <w:bottom w:val="none" w:sz="0" w:space="0" w:color="auto"/>
        <w:right w:val="none" w:sz="0" w:space="0" w:color="auto"/>
      </w:divBdr>
      <w:divsChild>
        <w:div w:id="405566520">
          <w:marLeft w:val="0"/>
          <w:marRight w:val="0"/>
          <w:marTop w:val="0"/>
          <w:marBottom w:val="0"/>
          <w:divBdr>
            <w:top w:val="none" w:sz="0" w:space="0" w:color="auto"/>
            <w:left w:val="none" w:sz="0" w:space="0" w:color="auto"/>
            <w:bottom w:val="none" w:sz="0" w:space="0" w:color="auto"/>
            <w:right w:val="none" w:sz="0" w:space="0" w:color="auto"/>
          </w:divBdr>
        </w:div>
        <w:div w:id="10226282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2384</Words>
  <Characters>13589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Zheng</dc:creator>
  <cp:keywords/>
  <dc:description/>
  <cp:lastModifiedBy>Catherine Zheng</cp:lastModifiedBy>
  <cp:revision>36</cp:revision>
  <dcterms:created xsi:type="dcterms:W3CDTF">2016-06-01T01:38:00Z</dcterms:created>
  <dcterms:modified xsi:type="dcterms:W3CDTF">2016-06-01T08:28:00Z</dcterms:modified>
</cp:coreProperties>
</file>