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BF" w:rsidRDefault="008A1E2E">
      <w:r>
        <w:t>Long-term glycemic control using polymer-encapsulated human stem cell–derived beta cells in immune-competent mice</w:t>
      </w:r>
      <w:r>
        <w:t xml:space="preserve"> – Vegas et al., </w:t>
      </w:r>
    </w:p>
    <w:p w:rsidR="008A1E2E" w:rsidRDefault="008A1E2E" w:rsidP="008A1E2E">
      <w:pPr>
        <w:pStyle w:val="ListParagraph"/>
        <w:numPr>
          <w:ilvl w:val="0"/>
          <w:numId w:val="1"/>
        </w:numPr>
      </w:pPr>
      <w:r>
        <w:t>Pancreatic transplantation / cadaver islet infusion clinically implemented but need immunosuppression</w:t>
      </w:r>
    </w:p>
    <w:p w:rsidR="008A1E2E" w:rsidRDefault="008A1E2E" w:rsidP="008A1E2E">
      <w:pPr>
        <w:pStyle w:val="ListParagraph"/>
        <w:numPr>
          <w:ilvl w:val="0"/>
          <w:numId w:val="1"/>
        </w:numPr>
      </w:pPr>
      <w:r>
        <w:t>SC-beta (glucose responsive mature beta cells derived from human embryonic stem cells)</w:t>
      </w:r>
    </w:p>
    <w:p w:rsidR="008A1E2E" w:rsidRDefault="008A1E2E" w:rsidP="008A1E2E">
      <w:pPr>
        <w:pStyle w:val="ListParagraph"/>
        <w:numPr>
          <w:ilvl w:val="0"/>
          <w:numId w:val="1"/>
        </w:numPr>
      </w:pPr>
      <w:r>
        <w:t xml:space="preserve">Host immune response to implanted materials is a clinical issue if we use </w:t>
      </w:r>
      <w:proofErr w:type="spellStart"/>
      <w:r>
        <w:t>immunoisolation</w:t>
      </w:r>
      <w:proofErr w:type="spellEnd"/>
      <w:r>
        <w:t xml:space="preserve"> with porous biomaterials</w:t>
      </w:r>
    </w:p>
    <w:p w:rsidR="008A1E2E" w:rsidRDefault="008A1E2E" w:rsidP="008A1E2E">
      <w:pPr>
        <w:pStyle w:val="ListParagraph"/>
        <w:numPr>
          <w:ilvl w:val="0"/>
          <w:numId w:val="1"/>
        </w:numPr>
      </w:pPr>
      <w:r>
        <w:t xml:space="preserve">Encapsulation with </w:t>
      </w:r>
      <w:r w:rsidRPr="008A1E2E">
        <w:rPr>
          <w:b/>
        </w:rPr>
        <w:t>alginate derivatives</w:t>
      </w:r>
      <w:r>
        <w:t xml:space="preserve"> mitigates foreign-body responses in vivo</w:t>
      </w:r>
    </w:p>
    <w:p w:rsidR="008A1E2E" w:rsidRDefault="008A1E2E" w:rsidP="008A1E2E"/>
    <w:p w:rsidR="008A1E2E" w:rsidRDefault="008A1E2E" w:rsidP="008A1E2E">
      <w:r>
        <w:t>b-cell–mimetic designer cells provide closed-loop glycemic control</w:t>
      </w:r>
    </w:p>
    <w:p w:rsidR="00F60231" w:rsidRDefault="00F60231" w:rsidP="00F60231">
      <w:pPr>
        <w:pStyle w:val="ListParagraph"/>
        <w:numPr>
          <w:ilvl w:val="0"/>
          <w:numId w:val="1"/>
        </w:numPr>
      </w:pPr>
      <w:r>
        <w:t>Beta mimetic designer cells established by minimal engineering of human cells achieves glucose response coupling glycolysis-medium calcium entry to excitation-transcription system</w:t>
      </w:r>
    </w:p>
    <w:p w:rsidR="00F60231" w:rsidRDefault="00F60231" w:rsidP="00F60231">
      <w:pPr>
        <w:pStyle w:val="ListParagraph"/>
        <w:numPr>
          <w:ilvl w:val="0"/>
          <w:numId w:val="1"/>
        </w:numPr>
      </w:pPr>
      <w:r>
        <w:t>Implanted circuit-carrying cells corrected insulin deficiency and self-sufficiently abolished persistent hyperglycemia in T1D mice</w:t>
      </w:r>
    </w:p>
    <w:p w:rsidR="00F60231" w:rsidRDefault="00F60231" w:rsidP="00F60231">
      <w:pPr>
        <w:pStyle w:val="ListParagraph"/>
        <w:numPr>
          <w:ilvl w:val="0"/>
          <w:numId w:val="1"/>
        </w:numPr>
      </w:pPr>
      <w:r>
        <w:t>G</w:t>
      </w:r>
      <w:r>
        <w:t>lucose</w:t>
      </w:r>
      <w:r>
        <w:t xml:space="preserve">- </w:t>
      </w:r>
      <w:r>
        <w:t>inducible glucagon-like peptide 1 transcription improved endogenous glucose-stimulated insulin release and glucose tolerance in T2D mice</w:t>
      </w:r>
    </w:p>
    <w:p w:rsidR="008A1E2E" w:rsidRDefault="008A1E2E" w:rsidP="008A1E2E"/>
    <w:p w:rsidR="00D2295A" w:rsidRDefault="00D2295A" w:rsidP="00D2295A">
      <w:pPr>
        <w:pStyle w:val="ListParagraph"/>
        <w:numPr>
          <w:ilvl w:val="0"/>
          <w:numId w:val="2"/>
        </w:numPr>
      </w:pPr>
      <w:r>
        <w:t>Stem cells</w:t>
      </w:r>
    </w:p>
    <w:p w:rsidR="00D2295A" w:rsidRDefault="00D2295A" w:rsidP="00D2295A">
      <w:pPr>
        <w:pStyle w:val="ListParagraph"/>
        <w:numPr>
          <w:ilvl w:val="0"/>
          <w:numId w:val="2"/>
        </w:numPr>
      </w:pPr>
      <w:r>
        <w:t>Conversion of alpha into beta cells (GABA mediated)</w:t>
      </w:r>
    </w:p>
    <w:p w:rsidR="00D2295A" w:rsidRDefault="00D2295A" w:rsidP="00D2295A">
      <w:pPr>
        <w:pStyle w:val="ListParagraph"/>
        <w:numPr>
          <w:ilvl w:val="0"/>
          <w:numId w:val="2"/>
        </w:numPr>
      </w:pPr>
      <w:r>
        <w:t>Fibroblast to beta cells</w:t>
      </w:r>
      <w:bookmarkStart w:id="0" w:name="_GoBack"/>
      <w:bookmarkEnd w:id="0"/>
    </w:p>
    <w:p w:rsidR="00D2295A" w:rsidRDefault="00D2295A" w:rsidP="00D2295A">
      <w:pPr>
        <w:pStyle w:val="ListParagraph"/>
        <w:numPr>
          <w:ilvl w:val="0"/>
          <w:numId w:val="2"/>
        </w:numPr>
      </w:pPr>
      <w:r>
        <w:t>Reprogram gastric endocrine into making insulin</w:t>
      </w:r>
    </w:p>
    <w:sectPr w:rsidR="00D2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3FE0"/>
    <w:multiLevelType w:val="hybridMultilevel"/>
    <w:tmpl w:val="9080143C"/>
    <w:lvl w:ilvl="0" w:tplc="AC20E2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13B5"/>
    <w:multiLevelType w:val="hybridMultilevel"/>
    <w:tmpl w:val="B9A0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2E"/>
    <w:rsid w:val="00146D56"/>
    <w:rsid w:val="002F6A81"/>
    <w:rsid w:val="00321546"/>
    <w:rsid w:val="006F4993"/>
    <w:rsid w:val="008A1E2E"/>
    <w:rsid w:val="008F5AF5"/>
    <w:rsid w:val="00945CF6"/>
    <w:rsid w:val="00A95B5F"/>
    <w:rsid w:val="00D2295A"/>
    <w:rsid w:val="00E31CBF"/>
    <w:rsid w:val="00F6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74FE"/>
  <w15:chartTrackingRefBased/>
  <w15:docId w15:val="{5CFAE23B-DB02-4CC2-A615-CBDDA904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499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154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6A81"/>
    <w:pPr>
      <w:keepNext/>
      <w:keepLines/>
      <w:spacing w:before="40" w:after="0"/>
      <w:outlineLvl w:val="1"/>
    </w:pPr>
    <w:rPr>
      <w:rFonts w:eastAsiaTheme="majorEastAsia" w:cstheme="majorBidi"/>
      <w:b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46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F499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F4993"/>
    <w:rPr>
      <w:rFonts w:ascii="Times New Roman" w:eastAsiaTheme="majorEastAsia" w:hAnsi="Times New Roman" w:cstheme="majorBidi"/>
      <w:b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6A81"/>
    <w:rPr>
      <w:rFonts w:ascii="Times New Roman" w:eastAsiaTheme="majorEastAsia" w:hAnsi="Times New Roman" w:cstheme="majorBidi"/>
      <w:b/>
      <w:smallCaps/>
      <w:sz w:val="26"/>
      <w:szCs w:val="26"/>
    </w:rPr>
  </w:style>
  <w:style w:type="paragraph" w:styleId="ListParagraph">
    <w:name w:val="List Paragraph"/>
    <w:basedOn w:val="Normal"/>
    <w:uiPriority w:val="34"/>
    <w:qFormat/>
    <w:rsid w:val="008A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Liu</dc:creator>
  <cp:keywords/>
  <dc:description/>
  <cp:lastModifiedBy>Weber Liu</cp:lastModifiedBy>
  <cp:revision>2</cp:revision>
  <dcterms:created xsi:type="dcterms:W3CDTF">2017-04-04T06:13:00Z</dcterms:created>
  <dcterms:modified xsi:type="dcterms:W3CDTF">2017-04-05T12:11:00Z</dcterms:modified>
</cp:coreProperties>
</file>