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100" w:lineRule="auto"/>
        <w:rPr>
          <w:b w:val="1"/>
          <w:bCs w:val="1"/>
          <w:sz w:val="26"/>
          <w:szCs w:val="26"/>
        </w:rPr>
      </w:pPr>
      <w:r w:rsidDel="00000000" w:rsidR="00000000" w:rsidRPr="00000000">
        <w:rPr>
          <w:b w:val="1"/>
          <w:bCs w:val="1"/>
          <w:sz w:val="26"/>
          <w:szCs w:val="26"/>
          <w:rtl w:val="0"/>
        </w:rPr>
        <w:t xml:space="preserve">SYNTHÈSE DU PROJET : ANALYSE DES ACCORDS FINANCIERS DU FMI</w:t>
      </w:r>
    </w:p>
    <w:p w:rsidR="00000000" w:rsidDel="00000000" w:rsidP="00000000" w:rsidRDefault="00000000" w:rsidRPr="00000000" w14:paraId="00000002">
      <w:pPr>
        <w:shd w:fill="ffffff" w:val="clear"/>
        <w:spacing w:after="80" w:before="100" w:lineRule="auto"/>
        <w:rPr/>
      </w:pPr>
      <w:r w:rsidDel="00000000" w:rsidR="00000000" w:rsidRPr="00000000">
        <w:rPr>
          <w:b w:val="1"/>
          <w:bCs w:val="1"/>
          <w:rtl w:val="0"/>
        </w:rPr>
        <w:t xml:space="preserve">Étudiantes</w:t>
      </w:r>
      <w:r w:rsidDel="00000000" w:rsidR="00000000" w:rsidRPr="00000000">
        <w:rPr>
          <w:rtl w:val="0"/>
        </w:rPr>
        <w:t xml:space="preserve"> : Meryem Oujedid et Fatima-Ezzahra Naciri</w:t>
      </w:r>
    </w:p>
    <w:p w:rsidR="00000000" w:rsidDel="00000000" w:rsidP="00000000" w:rsidRDefault="00000000" w:rsidRPr="00000000" w14:paraId="00000003">
      <w:pPr>
        <w:shd w:fill="ffffff" w:val="clear"/>
        <w:spacing w:after="80" w:before="100" w:lineRule="auto"/>
        <w:rPr/>
      </w:pPr>
      <w:r w:rsidDel="00000000" w:rsidR="00000000" w:rsidRPr="00000000">
        <w:rPr>
          <w:rtl w:val="0"/>
        </w:rPr>
      </w:r>
    </w:p>
    <w:p w:rsidR="00000000" w:rsidDel="00000000" w:rsidP="00000000" w:rsidRDefault="00000000" w:rsidRPr="00000000" w14:paraId="00000004">
      <w:pPr>
        <w:shd w:fill="ffffff" w:val="clear"/>
        <w:spacing w:after="80" w:before="100" w:lineRule="auto"/>
        <w:rPr>
          <w:b w:val="1"/>
          <w:bCs w:val="1"/>
        </w:rPr>
      </w:pPr>
      <w:r w:rsidDel="00000000" w:rsidR="00000000" w:rsidRPr="00000000">
        <w:rPr>
          <w:b w:val="1"/>
          <w:bCs w:val="1"/>
          <w:rtl w:val="0"/>
        </w:rPr>
        <w:t xml:space="preserve">1. Principaux Résultats et Constats</w:t>
      </w:r>
    </w:p>
    <w:p w:rsidR="00000000" w:rsidDel="00000000" w:rsidP="00000000" w:rsidRDefault="00000000" w:rsidRPr="00000000" w14:paraId="00000005">
      <w:pPr>
        <w:shd w:fill="ffffff" w:val="clear"/>
        <w:spacing w:after="80" w:before="100" w:lineRule="auto"/>
        <w:rPr/>
      </w:pPr>
      <w:r w:rsidDel="00000000" w:rsidR="00000000" w:rsidRPr="00000000">
        <w:rPr>
          <w:rtl w:val="0"/>
        </w:rPr>
        <w:t xml:space="preserve">L'analyse des accords financiers du FMI à travers ce TP a permis d'extraire plusieurs informations stratégiques cruciales :</w:t>
      </w:r>
    </w:p>
    <w:p w:rsidR="00000000" w:rsidDel="00000000" w:rsidP="00000000" w:rsidRDefault="00000000" w:rsidRPr="00000000" w14:paraId="00000006">
      <w:pPr>
        <w:numPr>
          <w:ilvl w:val="0"/>
          <w:numId w:val="1"/>
        </w:numPr>
        <w:shd w:fill="ffffff" w:val="clear"/>
        <w:spacing w:after="0" w:afterAutospacing="0" w:before="100" w:lineRule="auto"/>
        <w:ind w:left="720" w:hanging="360"/>
        <w:rPr>
          <w:u w:val="none"/>
        </w:rPr>
      </w:pPr>
      <w:r w:rsidDel="00000000" w:rsidR="00000000" w:rsidRPr="00000000">
        <w:rPr>
          <w:rtl w:val="0"/>
        </w:rPr>
        <w:t xml:space="preserve">Prédominance des facilités de crédit : La facilité la plus fréquemment accordée est le Standby Arrangement (14 accords au total), bien que ses montants individuels soient relativement plus faibles.</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rPr>
          <w:u w:val="none"/>
        </w:rPr>
      </w:pPr>
      <w:r w:rsidDel="00000000" w:rsidR="00000000" w:rsidRPr="00000000">
        <w:rPr>
          <w:rtl w:val="0"/>
        </w:rPr>
        <w:t xml:space="preserve">Concentration des volumes financiers : Bien que moins fréquente, la facilité Precautionary and Liquidity Line (PLL) représente le volume cumulé le plus important avec plus de 12 millions de DTS, suivie de près par la Flexible Credit Line (FCL) avec environ 7,1 millions de DTS.</w:t>
      </w:r>
    </w:p>
    <w:p w:rsidR="00000000" w:rsidDel="00000000" w:rsidP="00000000" w:rsidRDefault="00000000" w:rsidRPr="00000000" w14:paraId="00000008">
      <w:pPr>
        <w:numPr>
          <w:ilvl w:val="0"/>
          <w:numId w:val="1"/>
        </w:numPr>
        <w:shd w:fill="ffffff" w:val="clear"/>
        <w:spacing w:after="80" w:before="0" w:beforeAutospacing="0" w:lineRule="auto"/>
        <w:ind w:left="720" w:hanging="360"/>
        <w:rPr>
          <w:u w:val="none"/>
        </w:rPr>
      </w:pPr>
      <w:r w:rsidDel="00000000" w:rsidR="00000000" w:rsidRPr="00000000">
        <w:rPr>
          <w:rtl w:val="0"/>
        </w:rPr>
        <w:t xml:space="preserve">Structure de la base : La base de données finale nommée tp_sql.db est composée d'une table principale dataset contenant les données consolidées, nettoyées, et prêtes pour des requêtes analytiques complexes.</w:t>
      </w:r>
    </w:p>
    <w:p w:rsidR="00000000" w:rsidDel="00000000" w:rsidP="00000000" w:rsidRDefault="00000000" w:rsidRPr="00000000" w14:paraId="00000009">
      <w:pPr>
        <w:shd w:fill="ffffff" w:val="clear"/>
        <w:spacing w:after="80" w:before="100" w:lineRule="auto"/>
        <w:rPr>
          <w:b w:val="1"/>
          <w:bCs w:val="1"/>
        </w:rPr>
      </w:pPr>
      <w:r w:rsidDel="00000000" w:rsidR="00000000" w:rsidRPr="00000000">
        <w:rPr>
          <w:b w:val="1"/>
          <w:bCs w:val="1"/>
          <w:rtl w:val="0"/>
        </w:rPr>
        <w:t xml:space="preserve">2. Difficultés rencontrées et Solutions apportées</w:t>
      </w:r>
    </w:p>
    <w:p w:rsidR="00000000" w:rsidDel="00000000" w:rsidP="00000000" w:rsidRDefault="00000000" w:rsidRPr="00000000" w14:paraId="0000000A">
      <w:pPr>
        <w:shd w:fill="ffffff" w:val="clear"/>
        <w:spacing w:after="80" w:before="100" w:lineRule="auto"/>
        <w:rPr/>
      </w:pPr>
      <w:r w:rsidDel="00000000" w:rsidR="00000000" w:rsidRPr="00000000">
        <w:rPr>
          <w:rtl w:val="0"/>
        </w:rPr>
        <w:t xml:space="preserve">La réalisation de ce projet a présenté quelques défis techniques qui ont été résolus avec succès :</w:t>
      </w:r>
    </w:p>
    <w:p w:rsidR="00000000" w:rsidDel="00000000" w:rsidP="00000000" w:rsidRDefault="00000000" w:rsidRPr="00000000" w14:paraId="0000000B">
      <w:pPr>
        <w:numPr>
          <w:ilvl w:val="0"/>
          <w:numId w:val="2"/>
        </w:numPr>
        <w:shd w:fill="ffffff" w:val="clear"/>
        <w:spacing w:after="80" w:before="100" w:lineRule="auto"/>
        <w:ind w:left="720" w:hanging="360"/>
      </w:pPr>
      <w:r w:rsidDel="00000000" w:rsidR="00000000" w:rsidRPr="00000000">
        <w:rPr>
          <w:rtl w:val="0"/>
        </w:rPr>
        <w:t xml:space="preserve">Problème de format de fichier : Le fichier d'origine possédait une extension .xls mais était structuré en valeurs séparées par des tabulations.</w:t>
      </w:r>
    </w:p>
    <w:p w:rsidR="00000000" w:rsidDel="00000000" w:rsidP="00000000" w:rsidRDefault="00000000" w:rsidRPr="00000000" w14:paraId="0000000C">
      <w:pPr>
        <w:shd w:fill="ffffff" w:val="clear"/>
        <w:spacing w:after="80" w:before="100" w:lineRule="auto"/>
        <w:ind w:left="720" w:firstLine="0"/>
        <w:rPr/>
      </w:pPr>
      <w:r w:rsidDel="00000000" w:rsidR="00000000" w:rsidRPr="00000000">
        <w:rPr>
          <w:rtl w:val="0"/>
        </w:rPr>
        <w:t xml:space="preserve">Solution : L'utilisation de pd.read_csv() avec le paramètre sep='\t' a permis un chargement correct des données.</w:t>
      </w:r>
    </w:p>
    <w:p w:rsidR="00000000" w:rsidDel="00000000" w:rsidP="00000000" w:rsidRDefault="00000000" w:rsidRPr="00000000" w14:paraId="0000000D">
      <w:pPr>
        <w:numPr>
          <w:ilvl w:val="0"/>
          <w:numId w:val="2"/>
        </w:numPr>
        <w:shd w:fill="ffffff" w:val="clear"/>
        <w:spacing w:after="80" w:before="100" w:lineRule="auto"/>
        <w:ind w:left="720" w:hanging="360"/>
      </w:pPr>
      <w:r w:rsidDel="00000000" w:rsidR="00000000" w:rsidRPr="00000000">
        <w:rPr>
          <w:rtl w:val="0"/>
        </w:rPr>
        <w:t xml:space="preserve">Type de données des montants (Texte avec virgules) : Le champ Amount était stocké sous forme de texte contenant des virgules (ex: 3,450,000). Cela empêchait d'effectuer des opérations mathématiques directes (SUM, AVG, MAX).</w:t>
      </w:r>
    </w:p>
    <w:p w:rsidR="00000000" w:rsidDel="00000000" w:rsidP="00000000" w:rsidRDefault="00000000" w:rsidRPr="00000000" w14:paraId="0000000E">
      <w:pPr>
        <w:shd w:fill="ffffff" w:val="clear"/>
        <w:spacing w:after="80" w:before="100" w:lineRule="auto"/>
        <w:ind w:left="720" w:firstLine="0"/>
        <w:rPr/>
      </w:pPr>
      <w:r w:rsidDel="00000000" w:rsidR="00000000" w:rsidRPr="00000000">
        <w:rPr>
          <w:rtl w:val="0"/>
        </w:rPr>
        <w:t xml:space="preserve">Solution : Nettoyage à la volée en SQL via des fonctions imbriquées : CAST(REPLACE(REPLACE(Amount, ',', ''), ' ', '') AS REAL).</w:t>
      </w:r>
    </w:p>
    <w:p w:rsidR="00000000" w:rsidDel="00000000" w:rsidP="00000000" w:rsidRDefault="00000000" w:rsidRPr="00000000" w14:paraId="0000000F">
      <w:pPr>
        <w:numPr>
          <w:ilvl w:val="0"/>
          <w:numId w:val="2"/>
        </w:numPr>
        <w:shd w:fill="ffffff" w:val="clear"/>
        <w:spacing w:after="80" w:before="100" w:lineRule="auto"/>
        <w:ind w:left="720" w:hanging="360"/>
      </w:pPr>
      <w:r w:rsidDel="00000000" w:rsidR="00000000" w:rsidRPr="00000000">
        <w:rPr>
          <w:rtl w:val="0"/>
        </w:rPr>
        <w:t xml:space="preserve">Gestion des lignes techniques et des valeurs nulles : Le jeu de données contenait des lignes d'en-tête parasites et une ligne de total qui faussait les statistiques.</w:t>
      </w:r>
    </w:p>
    <w:p w:rsidR="00000000" w:rsidDel="00000000" w:rsidP="00000000" w:rsidRDefault="00000000" w:rsidRPr="00000000" w14:paraId="00000010">
      <w:pPr>
        <w:shd w:fill="ffffff" w:val="clear"/>
        <w:spacing w:after="80" w:before="100" w:lineRule="auto"/>
        <w:ind w:left="720" w:firstLine="0"/>
        <w:rPr/>
      </w:pPr>
      <w:r w:rsidDel="00000000" w:rsidR="00000000" w:rsidRPr="00000000">
        <w:rPr>
          <w:rtl w:val="0"/>
        </w:rPr>
        <w:t xml:space="preserve">Solution : Application systématique de filtres WHERE Facility != 'Total' AND Facility != 'Facility' dans les requêtes SQL et lors de la préparation de la visualisation graphique.</w:t>
      </w:r>
    </w:p>
    <w:p w:rsidR="00000000" w:rsidDel="00000000" w:rsidP="00000000" w:rsidRDefault="00000000" w:rsidRPr="00000000" w14:paraId="00000011">
      <w:pPr>
        <w:shd w:fill="ffffff" w:val="clear"/>
        <w:spacing w:after="80" w:before="100" w:lineRule="auto"/>
        <w:ind w:left="720" w:firstLine="0"/>
        <w:rPr/>
      </w:pPr>
      <w:r w:rsidDel="00000000" w:rsidR="00000000" w:rsidRPr="00000000">
        <w:rPr>
          <w:rtl w:val="0"/>
        </w:rPr>
      </w:r>
    </w:p>
    <w:p w:rsidR="00000000" w:rsidDel="00000000" w:rsidP="00000000" w:rsidRDefault="00000000" w:rsidRPr="00000000" w14:paraId="00000012">
      <w:pPr>
        <w:shd w:fill="ffffff" w:val="clear"/>
        <w:spacing w:after="80" w:before="1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