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t xml:space="preserve">Invariant-EvAM：从异质癌症观察到可靠答案与数据采集</w:t>
      </w:r>
    </w:p>
    <w:p>
      <w:pPr>
        <w:pStyle w:val="Subtitle"/>
      </w:pPr>
      <w:r>
        <w:t xml:space="preserve">科研故事、核心方法、实验闭环与主要发现</w:t>
      </w:r>
    </w:p>
    <w:p>
      <w:pPr>
        <w:pStyle w:val="Normal"/>
      </w:pPr>
      <w:r>
        <w:t xml:space="preserve">整理日期：2026年10月10日。依据当前 G1–G5 的 </w:t>
      </w:r>
      <w:r>
        <w:rPr>
          <w:rFonts w:ascii="Consolas" w:hAnsi="Consolas" w:eastAsia="宋体"/>
          <w:sz w:val="20"/>
        </w:rPr>
        <w:t xml:space="preserve">final_figures</w:t>
      </w:r>
      <w:r>
        <w:t xml:space="preserve">、正式结果、冻结协议和实际代码。当前共有59张独立单图、118个PDF/SVG文件；图数以各组 </w:t>
      </w:r>
      <w:r>
        <w:rPr>
          <w:rFonts w:ascii="Consolas" w:hAnsi="Consolas" w:eastAsia="宋体"/>
          <w:sz w:val="20"/>
        </w:rPr>
        <w:t xml:space="preserve">MANIFEST.json</w:t>
      </w:r>
      <w:r>
        <w:t xml:space="preserve"> 为准。本说明梳理已有证据，不新增实验，不改动结果或方法选择。</w:t>
      </w:r>
    </w:p>
    <w:p>
      <w:pPr>
        <w:pStyle w:val="Heading1"/>
      </w:pPr>
      <w:r>
        <w:t xml:space="preserve">1. 项目到底要解决什么问题</w:t>
      </w:r>
    </w:p>
    <w:p>
      <w:pPr>
        <w:pStyle w:val="Normal"/>
      </w:pPr>
      <w:r>
        <w:t xml:space="preserve"/>
      </w:r>
      <w:r>
        <w:rPr>
          <w:b/>
        </w:rPr>
        <w:t xml:space="preserve">当癌症资料的入组方式、基因面板和观察条件都不相同时，我们能否判断一个具体的演化交互问题有没有答案，给出多可靠的答案，以及下一步收什么数据才能真正改善这个答案？</w:t>
      </w:r>
      <w:r>
        <w:t xml:space="preserve"/>
      </w:r>
    </w:p>
    <w:p>
      <w:pPr>
        <w:pStyle w:val="Normal"/>
      </w:pPr>
      <w:r>
        <w:t xml:space="preserve">这里的“演化交互”有明确含义：在声明的事件获取模型中，已经发生的一个事件，是否改变另一个事件随后被获取的速率，以及改变多少。它不同于简单统计两个基因是否经常同时突变。两个基因的共现可以来自演化关系，也可以来自患者筛选、检测面板、观察时间或群体组成的差异。</w:t>
      </w:r>
    </w:p>
    <w:p>
      <w:pPr>
        <w:pStyle w:val="Normal"/>
      </w:pPr>
      <w:r>
        <w:t xml:space="preserve">本项目把研究过程组织成三个相连的任务：</w:t>
      </w:r>
      <w:r>
        <w:rPr>
          <w:b/>
        </w:rPr>
        <w:t xml:space="preserve">判断信息是否足够、把信息转成可靠回答、用有限预算补充缺失的信息。</w:t>
      </w:r>
      <w:r>
        <w:t xml:space="preserve"> G1–G5分别检验这三个任务的基础、推断表现、观察假设、真实记录价值与采集行动。项目的核心贡献在于这条完整问题链和可执行的条件诊断；经典似然、精确检验和经典实验设计都可以成为解决问题的工具。</w:t>
      </w:r>
    </w:p>
    <w:p>
      <w:pPr>
        <w:pStyle w:val="Normal"/>
      </w:pPr>
      <w:r>
        <w:t xml:space="preserve">当前最有力的结果是：互补数据的价值取决于模型与观察结构；目标导向的采集在独立模拟确认中提高了正确回答比例；真实补测具有跨队列的记录预测收益，并能保存部分得到后续组织支持的谱系信息。这三条证据共同支撑“围绕具体科学目标组织数据”这一研究方向。</w:t>
      </w:r>
      <w:hyperlink r:id="link1">
        <w:r>
          <w:rPr>
            <w:color w:val="0072B2"/>
          </w:rPr>
          <w:t xml:space="preserve">整合报告</w:t>
        </w:r>
      </w:hyperlink>
      <w:r>
        <w:t xml:space="preserve"/>
      </w:r>
    </w:p>
    <w:p>
      <w:pPr>
        <w:pStyle w:val="Heading1"/>
      </w:pPr>
      <w:r>
        <w:t xml:space="preserve">2. 科研故事的起点：数据更多，为何仍可能没有答案</w:t>
      </w:r>
    </w:p>
    <w:p>
      <w:pPr>
        <w:pStyle w:val="Normal"/>
      </w:pPr>
      <w:r>
        <w:t xml:space="preserve">设想两个癌症队列：一个更多纳入携带事件A的患者，另一个更多纳入携带事件B的患者；一个面板测到A和C，另一个面板测到B和C。研究者想知道A是否影响B的获取。</w:t>
      </w:r>
    </w:p>
    <w:p>
      <w:pPr>
        <w:pStyle w:val="Normal"/>
      </w:pPr>
      <w:r>
        <w:t xml:space="preserve">直接合并这些资料，可能获得很大的样本量和很稳定的预测模型，但仍然缺少回答A与B交互所需的联合信息。更复杂的情况是，真实生物差异和入组偏差对观察分布产生相似的影响：拟合可以变得很好，两个解释却仍然分不开。优化器收敛只表示找到了一个数值解，不能保证科学问题已经被资料确定。</w:t>
      </w:r>
    </w:p>
    <w:p>
      <w:pPr>
        <w:pStyle w:val="Normal"/>
      </w:pPr>
      <w:r>
        <w:t xml:space="preserve">因此，需要区分三种不同的困难：</w:t>
      </w:r>
    </w:p>
    <w:tbl>
      <w:tblPr>
        <w:tblW w:w="9638" w:type="dxa"/>
        <w:tblLayout w:type="fixed"/>
        <w:tblBorders>
          <w:top w:val="single" w:sz="4" w:color="B7C6CE"/>
          <w:left w:val="single" w:sz="4" w:color="B7C6CE"/>
          <w:bottom w:val="single" w:sz="4" w:color="B7C6CE"/>
          <w:right w:val="single" w:sz="4" w:color="B7C6CE"/>
          <w:insideH w:val="single" w:sz="4" w:color="B7C6CE"/>
          <w:insideV w:val="single" w:sz="4" w:color="B7C6CE"/>
        </w:tblBorders>
        <w:tblCellMar>
          <w:top w:w="80" w:type="dxa"/>
          <w:left w:w="80" w:type="dxa"/>
          <w:bottom w:w="80" w:type="dxa"/>
          <w:right w:w="80" w:type="dxa"/>
        </w:tblCellMar>
      </w:tblPr>
      <w:tblGrid>
        <w:gridCol w:w="2200"/>
        <w:gridCol w:w="3600"/>
        <w:gridCol w:w="3838"/>
      </w:tblGrid>
      <w:tr>
        <w:trPr>
          <w:cantSplit/>
          <w:tblHeader/>
        </w:trPr>
        <w:tc>
          <w:tcPr>
            <w:tcW w:w="2200" w:type="dxa"/>
            <w:shd w:val="clear" w:fill="EAF3F8"/>
            <w:vAlign w:val="top"/>
          </w:tcPr>
          <w:p>
            <w:pPr>
              <w:pStyle w:val="TableText"/>
            </w:pPr>
            <w:r>
              <w:rPr>
                <w:b/>
              </w:rPr>
              <w:t xml:space="preserve">困难</w:t>
            </w:r>
          </w:p>
        </w:tc>
        <w:tc>
          <w:tcPr>
            <w:tcW w:w="3600" w:type="dxa"/>
            <w:shd w:val="clear" w:fill="EAF3F8"/>
            <w:vAlign w:val="top"/>
          </w:tcPr>
          <w:p>
            <w:pPr>
              <w:pStyle w:val="TableText"/>
            </w:pPr>
            <w:r>
              <w:rPr>
                <w:b/>
              </w:rPr>
              <w:t xml:space="preserve">通俗解释</w:t>
            </w:r>
          </w:p>
        </w:tc>
        <w:tc>
          <w:tcPr>
            <w:tcW w:w="3838" w:type="dxa"/>
            <w:shd w:val="clear" w:fill="EAF3F8"/>
            <w:vAlign w:val="top"/>
          </w:tcPr>
          <w:p>
            <w:pPr>
              <w:pStyle w:val="TableText"/>
            </w:pPr>
            <w:r>
              <w:rPr>
                <w:b/>
              </w:rPr>
              <w:t xml:space="preserve">应对方式</w:t>
            </w:r>
          </w:p>
        </w:tc>
      </w:tr>
      <w:tr>
        <w:trPr>
          <w:cantSplit/>
        </w:trPr>
        <w:tc>
          <w:tcPr>
            <w:tcW w:w="2200" w:type="dxa"/>
            <w:vAlign w:val="top"/>
          </w:tcPr>
          <w:p>
            <w:pPr>
              <w:pStyle w:val="TableText"/>
            </w:pPr>
            <w:r>
              <w:t xml:space="preserve">结构性信息缺失</w:t>
            </w:r>
          </w:p>
        </w:tc>
        <w:tc>
          <w:tcPr>
            <w:tcW w:w="3600" w:type="dxa"/>
            <w:vAlign w:val="top"/>
          </w:tcPr>
          <w:p>
            <w:pPr>
              <w:pStyle w:val="TableText"/>
            </w:pPr>
            <w:r>
              <w:t xml:space="preserve">不同的目标值能产生相同观察；现有观察方式不能区分它们</w:t>
            </w:r>
          </w:p>
        </w:tc>
        <w:tc>
          <w:tcPr>
            <w:tcW w:w="3838" w:type="dxa"/>
            <w:vAlign w:val="top"/>
          </w:tcPr>
          <w:p>
            <w:pPr>
              <w:pStyle w:val="TableText"/>
            </w:pPr>
            <w:r>
              <w:t xml:space="preserve">改变观察方向，增加联合测量、参考资料或新的来源信息</w:t>
            </w:r>
          </w:p>
        </w:tc>
      </w:tr>
      <w:tr>
        <w:trPr>
          <w:cantSplit/>
        </w:trPr>
        <w:tc>
          <w:tcPr>
            <w:tcW w:w="2200" w:type="dxa"/>
            <w:vAlign w:val="top"/>
          </w:tcPr>
          <w:p>
            <w:pPr>
              <w:pStyle w:val="TableText"/>
            </w:pPr>
            <w:r>
              <w:t xml:space="preserve">有限样本信息太弱</w:t>
            </w:r>
          </w:p>
        </w:tc>
        <w:tc>
          <w:tcPr>
            <w:tcW w:w="3600" w:type="dxa"/>
            <w:vAlign w:val="top"/>
          </w:tcPr>
          <w:p>
            <w:pPr>
              <w:pStyle w:val="TableText"/>
            </w:pPr>
            <w:r>
              <w:t xml:space="preserve">原理上能区分，但现有数据不足以分清</w:t>
            </w:r>
          </w:p>
        </w:tc>
        <w:tc>
          <w:tcPr>
            <w:tcW w:w="3838" w:type="dxa"/>
            <w:vAlign w:val="top"/>
          </w:tcPr>
          <w:p>
            <w:pPr>
              <w:pStyle w:val="TableText"/>
            </w:pPr>
            <w:r>
              <w:t xml:space="preserve">增加有用的样本、改善稀有层覆盖或调整预算分配</w:t>
            </w:r>
          </w:p>
        </w:tc>
      </w:tr>
      <w:tr>
        <w:trPr>
          <w:cantSplit/>
        </w:trPr>
        <w:tc>
          <w:tcPr>
            <w:tcW w:w="2200" w:type="dxa"/>
            <w:vAlign w:val="top"/>
          </w:tcPr>
          <w:p>
            <w:pPr>
              <w:pStyle w:val="TableText"/>
            </w:pPr>
            <w:r>
              <w:t xml:space="preserve">实现与数值求解问题</w:t>
            </w:r>
          </w:p>
        </w:tc>
        <w:tc>
          <w:tcPr>
            <w:tcW w:w="3600" w:type="dxa"/>
            <w:vAlign w:val="top"/>
          </w:tcPr>
          <w:p>
            <w:pPr>
              <w:pStyle w:val="TableText"/>
            </w:pPr>
            <w:r>
              <w:t xml:space="preserve">信息可能存在，但当前算法未可靠找到或表达它</w:t>
            </w:r>
          </w:p>
        </w:tc>
        <w:tc>
          <w:tcPr>
            <w:tcW w:w="3838" w:type="dxa"/>
            <w:vAlign w:val="top"/>
          </w:tcPr>
          <w:p>
            <w:pPr>
              <w:pStyle w:val="TableText"/>
            </w:pPr>
            <w:r>
              <w:t xml:space="preserve">检查导数、多起点、搜索边界及似然一致性</w:t>
            </w:r>
          </w:p>
        </w:tc>
      </w:tr>
    </w:tbl>
    <w:p>
      <w:pPr>
        <w:pStyle w:val="Normal"/>
      </w:pPr>
      <w:r>
        <w:t xml:space="preserve"/>
      </w:r>
    </w:p>
    <w:p>
      <w:pPr>
        <w:pStyle w:val="Normal"/>
      </w:pPr>
      <w:r>
        <w:t xml:space="preserve">这一区分决定后续行动。结构缺失不能靠重复收集同一类记录自动解决；信息太弱不必被误判为永久无解；数值失败也不能被包装成生物学结论。</w:t>
      </w:r>
    </w:p>
    <w:p>
      <w:pPr>
        <w:pStyle w:val="Normal"/>
      </w:pPr>
      <w:r>
        <w:t xml:space="preserve">科研故事由此开始：</w:t>
      </w:r>
      <w:r>
        <w:rPr>
          <w:b/>
        </w:rPr>
        <w:t xml:space="preserve">先问资料能回答什么，再问该怎样拟合，最后问还应该测什么。</w:t>
      </w:r>
      <w:r>
        <w:t xml:space="preserve"/>
      </w:r>
    </w:p>
    <w:p>
      <w:pPr>
        <w:pStyle w:val="Heading1"/>
      </w:pPr>
      <w:r>
        <w:t xml:space="preserve">3. 完整科学问题与统一目标</w:t>
      </w:r>
    </w:p>
    <w:p>
      <w:pPr>
        <w:pStyle w:val="Normal"/>
      </w:pPr>
      <w:r>
        <w:t xml:space="preserve">本项目研究的是声明模型与观察家族下的目标问题。首先固定参考总体和目标，例如某个演化获取速率交互；然后描述每种队列如何筛选患者、如何测量事件、哪些观察特征已知、哪些强度需要估计，以及是否允许生物差异。最后判断目标在这些条件下是否可识别，并评价可靠区间和采集策略。</w:t>
      </w:r>
    </w:p>
    <w:p>
      <w:pPr>
        <w:pStyle w:val="Normal"/>
      </w:pPr>
      <w:r>
        <w:t xml:space="preserve">整体模型是否唯一可恢复，与一个具体目标是否可回答，是两个不同问题。即使其他参数仍有歧义，某个交互方向也可能有充分信息；反过来，整体秩在某个容差下表现良好，也不保证目标在有限样本中估得准。</w:t>
      </w:r>
    </w:p>
    <w:p>
      <w:pPr>
        <w:pStyle w:val="Normal"/>
      </w:pPr>
      <w:r>
        <w:t xml:space="preserve">“Invariant”的工作含义是：在观察机制可能变化的情况下，围绕一个固定的参考目标组织模型、信息诊断和评价。它依赖声明的共享结构、观察家族和必要的锚定资料；目标不会因为名称叫“不变”就自动在所有人群中保持相同。</w:t>
      </w:r>
    </w:p>
    <w:p>
      <w:pPr>
        <w:pStyle w:val="Normal"/>
      </w:pPr>
      <w:r>
        <w:t xml:space="preserve">现有实验有三层终点，必须按实际含义理解：</w:t>
      </w:r>
    </w:p>
    <w:tbl>
      <w:tblPr>
        <w:tblW w:w="9638" w:type="dxa"/>
        <w:tblLayout w:type="fixed"/>
        <w:tblBorders>
          <w:top w:val="single" w:sz="4" w:color="B7C6CE"/>
          <w:left w:val="single" w:sz="4" w:color="B7C6CE"/>
          <w:bottom w:val="single" w:sz="4" w:color="B7C6CE"/>
          <w:right w:val="single" w:sz="4" w:color="B7C6CE"/>
          <w:insideH w:val="single" w:sz="4" w:color="B7C6CE"/>
          <w:insideV w:val="single" w:sz="4" w:color="B7C6CE"/>
        </w:tblBorders>
        <w:tblCellMar>
          <w:top w:w="80" w:type="dxa"/>
          <w:left w:w="80" w:type="dxa"/>
          <w:bottom w:w="80" w:type="dxa"/>
          <w:right w:w="80" w:type="dxa"/>
        </w:tblCellMar>
      </w:tblPr>
      <w:tblGrid>
        <w:gridCol w:w="2200"/>
        <w:gridCol w:w="3600"/>
        <w:gridCol w:w="3838"/>
      </w:tblGrid>
      <w:tr>
        <w:trPr>
          <w:cantSplit/>
          <w:tblHeader/>
        </w:trPr>
        <w:tc>
          <w:tcPr>
            <w:tcW w:w="2200" w:type="dxa"/>
            <w:shd w:val="clear" w:fill="EAF3F8"/>
            <w:vAlign w:val="top"/>
          </w:tcPr>
          <w:p>
            <w:pPr>
              <w:pStyle w:val="TableText"/>
            </w:pPr>
            <w:r>
              <w:rPr>
                <w:b/>
              </w:rPr>
              <w:t xml:space="preserve">证据层</w:t>
            </w:r>
          </w:p>
        </w:tc>
        <w:tc>
          <w:tcPr>
            <w:tcW w:w="3600" w:type="dxa"/>
            <w:shd w:val="clear" w:fill="EAF3F8"/>
            <w:vAlign w:val="top"/>
          </w:tcPr>
          <w:p>
            <w:pPr>
              <w:pStyle w:val="TableText"/>
            </w:pPr>
            <w:r>
              <w:rPr>
                <w:b/>
              </w:rPr>
              <w:t xml:space="preserve">被评价的目标</w:t>
            </w:r>
          </w:p>
        </w:tc>
        <w:tc>
          <w:tcPr>
            <w:tcW w:w="3838" w:type="dxa"/>
            <w:shd w:val="clear" w:fill="EAF3F8"/>
            <w:vAlign w:val="top"/>
          </w:tcPr>
          <w:p>
            <w:pPr>
              <w:pStyle w:val="TableText"/>
            </w:pPr>
            <w:r>
              <w:rPr>
                <w:b/>
              </w:rPr>
              <w:t xml:space="preserve">为什么需要这一层</w:t>
            </w:r>
          </w:p>
        </w:tc>
      </w:tr>
      <w:tr>
        <w:trPr>
          <w:cantSplit/>
        </w:trPr>
        <w:tc>
          <w:tcPr>
            <w:tcW w:w="2200" w:type="dxa"/>
            <w:vAlign w:val="top"/>
          </w:tcPr>
          <w:p>
            <w:pPr>
              <w:pStyle w:val="TableText"/>
            </w:pPr>
            <w:r>
              <w:t xml:space="preserve">受控演化模型</w:t>
            </w:r>
          </w:p>
        </w:tc>
        <w:tc>
          <w:tcPr>
            <w:tcW w:w="3600" w:type="dxa"/>
            <w:vAlign w:val="top"/>
          </w:tcPr>
          <w:p>
            <w:pPr>
              <w:pStyle w:val="TableText"/>
            </w:pPr>
            <w:r>
              <w:t xml:space="preserve">已知真值的交互参数、交互方向和区间覆盖</w:t>
            </w:r>
          </w:p>
        </w:tc>
        <w:tc>
          <w:tcPr>
            <w:tcW w:w="3838" w:type="dxa"/>
            <w:vAlign w:val="top"/>
          </w:tcPr>
          <w:p>
            <w:pPr>
              <w:pStyle w:val="TableText"/>
            </w:pPr>
            <w:r>
              <w:t xml:space="preserve">检验可识别性、推断与采集是否真的回答了原问题</w:t>
            </w:r>
          </w:p>
        </w:tc>
      </w:tr>
      <w:tr>
        <w:trPr>
          <w:cantSplit/>
        </w:trPr>
        <w:tc>
          <w:tcPr>
            <w:tcW w:w="2200" w:type="dxa"/>
            <w:vAlign w:val="top"/>
          </w:tcPr>
          <w:p>
            <w:pPr>
              <w:pStyle w:val="TableText"/>
            </w:pPr>
            <w:r>
              <w:t xml:space="preserve">真实患者记录</w:t>
            </w:r>
          </w:p>
        </w:tc>
        <w:tc>
          <w:tcPr>
            <w:tcW w:w="3600" w:type="dxa"/>
            <w:vAlign w:val="top"/>
          </w:tcPr>
          <w:p>
            <w:pPr>
              <w:pStyle w:val="TableText"/>
            </w:pPr>
            <w:r>
              <w:t xml:space="preserve">隐藏实测记录、联合频率与外部记录预测得分</w:t>
            </w:r>
          </w:p>
        </w:tc>
        <w:tc>
          <w:tcPr>
            <w:tcW w:w="3838" w:type="dxa"/>
            <w:vAlign w:val="top"/>
          </w:tcPr>
          <w:p>
            <w:pPr>
              <w:pStyle w:val="TableText"/>
            </w:pPr>
            <w:r>
              <w:t xml:space="preserve">检验补测是否在实际数据中产生可用信息</w:t>
            </w:r>
          </w:p>
        </w:tc>
      </w:tr>
      <w:tr>
        <w:trPr>
          <w:cantSplit/>
        </w:trPr>
        <w:tc>
          <w:tcPr>
            <w:tcW w:w="2200" w:type="dxa"/>
            <w:vAlign w:val="top"/>
          </w:tcPr>
          <w:p>
            <w:pPr>
              <w:pStyle w:val="TableText"/>
            </w:pPr>
            <w:r>
              <w:t xml:space="preserve">生物桥接</w:t>
            </w:r>
          </w:p>
        </w:tc>
        <w:tc>
          <w:tcPr>
            <w:tcW w:w="3600" w:type="dxa"/>
            <w:vAlign w:val="top"/>
          </w:tcPr>
          <w:p>
            <w:pPr>
              <w:pStyle w:val="TableText"/>
            </w:pPr>
            <w:r>
              <w:t xml:space="preserve">后续组织支持的支系、术后血浆中的目标回收</w:t>
            </w:r>
          </w:p>
        </w:tc>
        <w:tc>
          <w:tcPr>
            <w:tcW w:w="3838" w:type="dxa"/>
            <w:vAlign w:val="top"/>
          </w:tcPr>
          <w:p>
            <w:pPr>
              <w:pStyle w:val="TableText"/>
            </w:pPr>
            <w:r>
              <w:t xml:space="preserve">检验获得的信息是否联系到真实后续生物记录</w:t>
            </w:r>
          </w:p>
        </w:tc>
      </w:tr>
    </w:tbl>
    <w:p>
      <w:pPr>
        <w:pStyle w:val="Normal"/>
      </w:pPr>
      <w:r>
        <w:t xml:space="preserve"/>
      </w:r>
    </w:p>
    <w:p>
      <w:pPr>
        <w:pStyle w:val="Normal"/>
      </w:pPr>
      <w:r>
        <w:t xml:space="preserve">这三层递进增加了研究的现实意义，但真实记录预测、支系回收和自然演化参数真值不是同一个终点。</w:t>
      </w:r>
      <w:hyperlink r:id="link2">
        <w:r>
          <w:rPr>
            <w:color w:val="0072B2"/>
          </w:rPr>
          <w:t xml:space="preserve">模型合同</w:t>
        </w:r>
      </w:hyperlink>
      <w:r>
        <w:t xml:space="preserve"> · </w:t>
      </w:r>
      <w:hyperlink r:id="link3">
        <w:r>
          <w:rPr>
            <w:color w:val="0072B2"/>
          </w:rPr>
          <w:t xml:space="preserve">G4生物验证</w:t>
        </w:r>
      </w:hyperlink>
      <w:r>
        <w:t xml:space="preserve"> · </w:t>
      </w:r>
      <w:hyperlink r:id="link4">
        <w:r>
          <w:rPr>
            <w:color w:val="0072B2"/>
          </w:rPr>
          <w:t xml:space="preserve">G5生物验证</w:t>
        </w:r>
      </w:hyperlink>
      <w:r>
        <w:t xml:space="preserve"/>
      </w:r>
    </w:p>
    <w:p>
      <w:pPr>
        <w:pStyle w:val="Heading1"/>
      </w:pPr>
      <w:r>
        <w:t xml:space="preserve">4. 核心方法：怎样把问题变成可计算的流程</w:t>
      </w:r>
    </w:p>
    <w:p>
      <w:pPr>
        <w:pStyle w:val="Heading2"/>
      </w:pPr>
      <w:r>
        <w:t xml:space="preserve">4.1 用演化模型描述潜在过程</w:t>
      </w:r>
    </w:p>
    <w:p>
      <w:pPr>
        <w:pStyle w:val="Normal"/>
      </w:pPr>
      <w:r>
        <w:t xml:space="preserve">核心数值模型是不可逆的二元事件获取连续时间马尔可夫链，事件发生后不再被移除。对于尚未发生的事件i，其获取速率写作：</w:t>
      </w:r>
    </w:p>
    <w:p>
      <w:pPr>
        <w:pStyle w:val="Equation"/>
      </w:pPr>
      <w:r>
        <w:t xml:space="preserve">λᵢ(x) = exp(βᵢ + Σⱼ≠ᵢ θᵢ←ⱼ xⱼ)</w:t>
      </w:r>
    </w:p>
    <w:p>
      <w:pPr>
        <w:pStyle w:val="Normal"/>
      </w:pPr>
      <w:r>
        <w:t xml:space="preserve">其中，β描述基础获取速率，θ描述已有事件对后续获取速率的修饰。exp(θ)是该模型中的速率倍数。核心快照实验从全零状态出发，固定归一化时间t=1，以生成矩阵得到状态概率分布。G3另外检验时间模型变化与失配。</w:t>
      </w:r>
    </w:p>
    <w:p>
      <w:pPr>
        <w:pStyle w:val="Normal"/>
      </w:pPr>
      <w:r>
        <w:t xml:space="preserve">这一模型提供了明确可评价的演化目标。θ不是横断面比值比，也不是直接测得的患者谱系风险、治疗效应或分子因果作用。</w:t>
      </w:r>
      <w:hyperlink r:id="link5">
        <w:r>
          <w:rPr>
            <w:color w:val="0072B2"/>
          </w:rPr>
          <w:t xml:space="preserve">交互生成器</w:t>
        </w:r>
      </w:hyperlink>
      <w:r>
        <w:t xml:space="preserve"/>
      </w:r>
    </w:p>
    <w:p>
      <w:pPr>
        <w:pStyle w:val="Heading2"/>
      </w:pPr>
      <w:r>
        <w:t xml:space="preserve">4.2 把演化、入组筛选与测量拆开建模</w:t>
      </w:r>
    </w:p>
    <w:p>
      <w:pPr>
        <w:pStyle w:val="Normal"/>
      </w:pPr>
      <w:r>
        <w:t xml:space="preserve">将基础速率与交互参数合记为ϑ=(β,θ)，核心观察模型可概括为：</w:t>
      </w:r>
    </w:p>
    <w:p>
      <w:pPr>
        <w:pStyle w:val="Equation"/>
      </w:pPr>
      <w:r>
        <w:t xml:space="preserve">qₑ = Aₑ [pϑ ⊙ exp(Fₑφₑ)] / Zₑ</w:t>
      </w:r>
      <w:r>
        <w:br/>
      </w:r>
      <w:r>
        <w:t xml:space="preserve">Zₑ = 1ᵀ[pϑ ⊙ exp(Fₑφₑ)]</w:t>
      </w:r>
    </w:p>
    <w:p>
      <w:pPr>
        <w:pStyle w:val="Normal"/>
      </w:pPr>
      <w:r>
        <w:t xml:space="preserve">pϑ是来源事件状态分布，F和φ描述声明家族中的筛选特征与强度，A描述面板遮盖、边缘化或测量映射。没有测到的事件通过求和处理，不当作“没有发生”。</w:t>
      </w:r>
    </w:p>
    <w:p>
      <w:pPr>
        <w:pStyle w:val="Normal"/>
      </w:pPr>
      <w:r>
        <w:t xml:space="preserve">主要结构化未知观察条件下，筛选特征族是已知的，强度需要估计。若允许任意未知筛选，目标可能被观察机制完全混淆，现有保证不能直接沿用。各项生物差异、时间和测量扩展按各自合同另外处理。</w:t>
      </w:r>
      <w:hyperlink r:id="link6">
        <w:r>
          <w:rPr>
            <w:color w:val="0072B2"/>
          </w:rPr>
          <w:t xml:space="preserve">观察算子</w:t>
        </w:r>
      </w:hyperlink>
      <w:r>
        <w:t xml:space="preserve"> · </w:t>
      </w:r>
      <w:hyperlink r:id="link7">
        <w:r>
          <w:rPr>
            <w:color w:val="0072B2"/>
          </w:rPr>
          <w:t xml:space="preserve">G1模型核心</w:t>
        </w:r>
      </w:hyperlink>
      <w:r>
        <w:t xml:space="preserve"/>
      </w:r>
    </w:p>
    <w:p>
      <w:pPr>
        <w:pStyle w:val="Heading2"/>
      </w:pPr>
      <w:r>
        <w:t xml:space="preserve">4.3 对具体目标做识别诊断</w:t>
      </w:r>
    </w:p>
    <w:p>
      <w:pPr>
        <w:pStyle w:val="Normal"/>
      </w:pPr>
      <w:r>
        <w:t xml:space="preserve">方法计算观察分布对参数的导数，按状态概率和样本比例ρₑ=nₑ/N进行白化，再投影掉筛选等干扰参数能够解释的方向。H表示完成这两步的联合Jacobian；HᵀH是每个样本的有效信息，实际总样本量N对应的信息矩阵为I_eff=N HᵀH，针对完整演化参数ϑ。共享干扰参数从完整联合似然中投影。</w:t>
      </w:r>
    </w:p>
    <w:p>
      <w:pPr>
        <w:pStyle w:val="Normal"/>
      </w:pPr>
      <w:r>
        <w:t xml:space="preserve">若目标为τ=aᵀϑ，关键判断是：目标方向a是否与这些观察看不见的参数方向正交；对单个交互目标，a选择对应交互坐标而不选择β。在正则局部的一阶诊断中，这可写成a⊥ker(H)。成立时，目标的局部方差界由aᵀI_eff⁺a给出，目标信息是它的倒数；不成立时，不能把伪逆给出的数值误当成可估精度。</w:t>
      </w:r>
    </w:p>
    <w:p>
      <w:pPr>
        <w:pStyle w:val="Normal"/>
      </w:pPr>
      <w:r>
        <w:t xml:space="preserve">通俗地说，方法先扣除“也可以由入组方式变化解释”的部分，再检查余下的信息能否区分目标。不同环境有价值，是因为它们可能照亮不同的目标方向；仅仅增加环境数量并不充分。</w:t>
      </w:r>
    </w:p>
    <w:p>
      <w:pPr>
        <w:pStyle w:val="Normal"/>
      </w:pPr>
      <w:r>
        <w:t xml:space="preserve">该诊断主要是局部几何。项目另外保留兼容参数别名和有限样本恢复实验，并检查秩对数值容差的敏感性，从不同角度约束解释。</w:t>
      </w:r>
      <w:hyperlink r:id="link7">
        <w:r>
          <w:rPr>
            <w:color w:val="0072B2"/>
          </w:rPr>
          <w:t xml:space="preserve">目标信息计算</w:t>
        </w:r>
      </w:hyperlink>
      <w:r>
        <w:t xml:space="preserve"> · </w:t>
      </w:r>
      <w:hyperlink r:id="link8">
        <w:r>
          <w:rPr>
            <w:color w:val="0072B2"/>
          </w:rPr>
          <w:t xml:space="preserve">复杂模型几何</w:t>
        </w:r>
      </w:hyperlink>
      <w:r>
        <w:t xml:space="preserve"/>
      </w:r>
    </w:p>
    <w:p>
      <w:pPr>
        <w:pStyle w:val="Heading2"/>
      </w:pPr>
      <w:r>
        <w:t xml:space="preserve">4.4 明确固定快照的来源信息上限</w:t>
      </w:r>
    </w:p>
    <w:p>
      <w:pPr>
        <w:pStyle w:val="Normal"/>
      </w:pPr>
      <w:r>
        <w:t xml:space="preserve">d个二元事件的固定时点来源分布，最多有2^d−1个独立概率自由度；其参数Jacobian秩不能超过这个数量。三事件全交互模型有9个参数，而快照自由度最多为7；四事件为16对15。</w:t>
      </w:r>
    </w:p>
    <w:p>
      <w:pPr>
        <w:pStyle w:val="Normal"/>
      </w:pPr>
      <w:r>
        <w:t xml:space="preserve">这种维数关系解释了为什么有些歧义存在于原始来源分布中，不能靠对同一快照反复遮盖或重新整理而消失。六、八事件时，状态空间自由度增大，维数约束本身不再直接阻止全部参数的局部识别，仍需实际检查模型与目标。</w:t>
      </w:r>
    </w:p>
    <w:p>
      <w:pPr>
        <w:pStyle w:val="Normal"/>
      </w:pPr>
      <w:r>
        <w:t xml:space="preserve">这里的上限是固定来源分布的结构维数与秩上限，不能扩写成“筛选后每名患者的信息量必然不增加”。新增时间点也提供新的来源信息，不属于原快照的后处理。</w:t>
      </w:r>
      <w:hyperlink r:id="link9">
        <w:r>
          <w:rPr>
            <w:color w:val="0072B2"/>
          </w:rPr>
          <w:t xml:space="preserve">G1冻结方法</w:t>
        </w:r>
      </w:hyperlink>
      <w:r>
        <w:t xml:space="preserve"/>
      </w:r>
    </w:p>
    <w:p>
      <w:pPr>
        <w:pStyle w:val="Heading2"/>
      </w:pPr>
      <w:r>
        <w:t xml:space="preserve">4.5 把可识别信息转成可靠答案</w:t>
      </w:r>
    </w:p>
    <w:p>
      <w:pPr>
        <w:pStyle w:val="Normal"/>
      </w:pPr>
      <w:r>
        <w:t xml:space="preserve">G2保留互补的推断路线。完整模型经典似然剖面使用所有声明可用的信息，并检查连续区间端点、多起点拟合和约束/无约束似然的一致性。其区间截断具有相应的正则与渐近条件。</w:t>
      </w:r>
    </w:p>
    <w:p>
      <w:pPr>
        <w:pStyle w:val="Normal"/>
      </w:pPr>
      <w:r>
        <w:t xml:space="preserve">保守路线在闭合父子事件子系统中，先构造经过多重约束校正的Clopper–Pearson条件概率区间，再形成概率可行集合，最后反演为交互幅度的置信外包。它通过保留不能排除的参数值来表达不确定性，必要时返回无界区间。概率层面的保证有明确结构条件，浮点几何实现不等于机器认证。</w:t>
      </w:r>
    </w:p>
    <w:p>
      <w:pPr>
        <w:pStyle w:val="Normal"/>
      </w:pPr>
      <w:r>
        <w:t xml:space="preserve">另有精确符号分支，利用适用筛选条件下保留的条件关系，以经典分层条件检验判断正、负或拒答。符号安全和交互幅度区间是不同结果；来源log-OR的敏感性界也不能直接解释成生成器交互参数界。</w:t>
      </w:r>
    </w:p>
    <w:p>
      <w:pPr>
        <w:pStyle w:val="Normal"/>
      </w:pPr>
      <w:r>
        <w:t xml:space="preserve">评价同时报告覆盖、有限区间比例、正确方向、错误方向、拒答和数值无效。这样才能区分“很安全但没有可用答案”与“在保持可靠性的同时提供了更多回答”。</w:t>
      </w:r>
      <w:hyperlink r:id="link10">
        <w:r>
          <w:rPr>
            <w:color w:val="0072B2"/>
          </w:rPr>
          <w:t xml:space="preserve">幅度外包实现</w:t>
        </w:r>
      </w:hyperlink>
      <w:r>
        <w:t xml:space="preserve"> · </w:t>
      </w:r>
      <w:hyperlink r:id="link11">
        <w:r>
          <w:rPr>
            <w:color w:val="0072B2"/>
          </w:rPr>
          <w:t xml:space="preserve">经典剖面</w:t>
        </w:r>
      </w:hyperlink>
      <w:r>
        <w:t xml:space="preserve"> · </w:t>
      </w:r>
      <w:hyperlink r:id="link12">
        <w:r>
          <w:rPr>
            <w:color w:val="0072B2"/>
          </w:rPr>
          <w:t xml:space="preserve">精确符号实现</w:t>
        </w:r>
      </w:hyperlink>
      <w:r>
        <w:t xml:space="preserve"/>
      </w:r>
    </w:p>
    <w:p>
      <w:pPr>
        <w:pStyle w:val="Heading2"/>
      </w:pPr>
      <w:r>
        <w:t xml:space="preserve">4.6 将信息诊断接到成本约束的采集行动</w:t>
      </w:r>
    </w:p>
    <w:p>
      <w:pPr>
        <w:pStyle w:val="Normal"/>
      </w:pPr>
      <w:r>
        <w:t xml:space="preserve">G5使用经典目标导向c-opt设计：对每个可行动作，预测它在既定预算下提供的信息；先判断目标能否被估计，再比较目标方差。R8实现采用“可估性优先、方差随后”的选择规则。</w:t>
      </w:r>
    </w:p>
    <w:p>
      <w:pPr>
        <w:pStyle w:val="Normal"/>
      </w:pPr>
      <w:r>
        <w:t xml:space="preserve">动作根据场景包括继续同类采样、收集来源样本、增加参考边际、揭盲缺失联合测量或增加新环境。选择只使用先导资料，随后用独立确认数据检验原目标的区间与方向。方法不能事先看到确认真值，也不能用最后哪条结果最有利来选择动作。</w:t>
      </w:r>
    </w:p>
    <w:p>
      <w:pPr>
        <w:pStyle w:val="Normal"/>
      </w:pPr>
      <w:r>
        <w:t xml:space="preserve">因此，c-opt是工作流中的有效工具。创新重点是诊断怎样决定采集，以及采集是否真的改善了原科学目标的答案。</w:t>
      </w:r>
      <w:hyperlink r:id="link13">
        <w:r>
          <w:rPr>
            <w:color w:val="0072B2"/>
          </w:rPr>
          <w:t xml:space="preserve">采集规则</w:t>
        </w:r>
      </w:hyperlink>
      <w:r>
        <w:t xml:space="preserve"> · </w:t>
      </w:r>
      <w:hyperlink r:id="link14">
        <w:r>
          <w:rPr>
            <w:color w:val="0072B2"/>
          </w:rPr>
          <w:t xml:space="preserve">独立采集验证</w:t>
        </w:r>
      </w:hyperlink>
      <w:r>
        <w:t xml:space="preserve"/>
      </w:r>
    </w:p>
    <w:p>
      <w:pPr>
        <w:pStyle w:val="Heading1"/>
      </w:pPr>
      <w:r>
        <w:t xml:space="preserve">5. 五章实验怎样组成逻辑闭环</w:t>
      </w:r>
    </w:p>
    <w:tbl>
      <w:tblPr>
        <w:tblW w:w="9638" w:type="dxa"/>
        <w:tblLayout w:type="fixed"/>
        <w:tblBorders>
          <w:top w:val="single" w:sz="4" w:color="B7C6CE"/>
          <w:left w:val="single" w:sz="4" w:color="B7C6CE"/>
          <w:bottom w:val="single" w:sz="4" w:color="B7C6CE"/>
          <w:right w:val="single" w:sz="4" w:color="B7C6CE"/>
          <w:insideH w:val="single" w:sz="4" w:color="B7C6CE"/>
          <w:insideV w:val="single" w:sz="4" w:color="B7C6CE"/>
        </w:tblBorders>
        <w:tblCellMar>
          <w:top w:w="80" w:type="dxa"/>
          <w:left w:w="80" w:type="dxa"/>
          <w:bottom w:w="80" w:type="dxa"/>
          <w:right w:w="80" w:type="dxa"/>
        </w:tblCellMar>
      </w:tblPr>
      <w:tblGrid>
        <w:gridCol w:w="800"/>
        <w:gridCol w:w="1900"/>
        <w:gridCol w:w="3200"/>
        <w:gridCol w:w="2800"/>
        <w:gridCol w:w="938"/>
      </w:tblGrid>
      <w:tr>
        <w:trPr>
          <w:cantSplit/>
          <w:tblHeader/>
        </w:trPr>
        <w:tc>
          <w:tcPr>
            <w:tcW w:w="800" w:type="dxa"/>
            <w:shd w:val="clear" w:fill="EAF3F8"/>
            <w:vAlign w:val="top"/>
          </w:tcPr>
          <w:p>
            <w:pPr>
              <w:pStyle w:val="TableText"/>
            </w:pPr>
            <w:r>
              <w:rPr>
                <w:b/>
              </w:rPr>
              <w:t xml:space="preserve">章节</w:t>
            </w:r>
          </w:p>
        </w:tc>
        <w:tc>
          <w:tcPr>
            <w:tcW w:w="1900" w:type="dxa"/>
            <w:shd w:val="clear" w:fill="EAF3F8"/>
            <w:vAlign w:val="top"/>
          </w:tcPr>
          <w:p>
            <w:pPr>
              <w:pStyle w:val="TableText"/>
            </w:pPr>
            <w:r>
              <w:rPr>
                <w:b/>
              </w:rPr>
              <w:t xml:space="preserve">章节任务</w:t>
            </w:r>
          </w:p>
        </w:tc>
        <w:tc>
          <w:tcPr>
            <w:tcW w:w="3200" w:type="dxa"/>
            <w:shd w:val="clear" w:fill="EAF3F8"/>
            <w:vAlign w:val="top"/>
          </w:tcPr>
          <w:p>
            <w:pPr>
              <w:pStyle w:val="TableText"/>
            </w:pPr>
            <w:r>
              <w:rPr>
                <w:b/>
              </w:rPr>
              <w:t xml:space="preserve">当前关键证据</w:t>
            </w:r>
          </w:p>
        </w:tc>
        <w:tc>
          <w:tcPr>
            <w:tcW w:w="2800" w:type="dxa"/>
            <w:shd w:val="clear" w:fill="EAF3F8"/>
            <w:vAlign w:val="top"/>
          </w:tcPr>
          <w:p>
            <w:pPr>
              <w:pStyle w:val="TableText"/>
            </w:pPr>
            <w:r>
              <w:rPr>
                <w:b/>
              </w:rPr>
              <w:t xml:space="preserve">对下一章的作用</w:t>
            </w:r>
          </w:p>
        </w:tc>
        <w:tc>
          <w:tcPr>
            <w:tcW w:w="938" w:type="dxa"/>
            <w:shd w:val="clear" w:fill="EAF3F8"/>
            <w:vAlign w:val="top"/>
          </w:tcPr>
          <w:p>
            <w:pPr>
              <w:pStyle w:val="TableText"/>
            </w:pPr>
            <w:r>
              <w:rPr>
                <w:b/>
              </w:rPr>
              <w:t xml:space="preserve">正式图数</w:t>
            </w:r>
          </w:p>
        </w:tc>
      </w:tr>
      <w:tr>
        <w:trPr>
          <w:cantSplit/>
        </w:trPr>
        <w:tc>
          <w:tcPr>
            <w:tcW w:w="800" w:type="dxa"/>
            <w:vAlign w:val="top"/>
          </w:tcPr>
          <w:p>
            <w:pPr>
              <w:pStyle w:val="TableText"/>
            </w:pPr>
            <w:r>
              <w:t xml:space="preserve">G1</w:t>
            </w:r>
          </w:p>
        </w:tc>
        <w:tc>
          <w:tcPr>
            <w:tcW w:w="1900" w:type="dxa"/>
            <w:vAlign w:val="top"/>
          </w:tcPr>
          <w:p>
            <w:pPr>
              <w:pStyle w:val="TableText"/>
            </w:pPr>
            <w:r>
              <w:t xml:space="preserve">判断目标信息在哪里、哪些设计互补</w:t>
            </w:r>
          </w:p>
        </w:tc>
        <w:tc>
          <w:tcPr>
            <w:tcW w:w="3200" w:type="dxa"/>
            <w:vAlign w:val="top"/>
          </w:tcPr>
          <w:p>
            <w:pPr>
              <w:pStyle w:val="TableText"/>
            </w:pPr>
            <w:r>
              <w:t xml:space="preserve">结构别名、有限样本恢复、完整设计库与复杂模型的信息比较</w:t>
            </w:r>
          </w:p>
        </w:tc>
        <w:tc>
          <w:tcPr>
            <w:tcW w:w="2800" w:type="dxa"/>
            <w:vAlign w:val="top"/>
          </w:tcPr>
          <w:p>
            <w:pPr>
              <w:pStyle w:val="TableText"/>
            </w:pPr>
            <w:r>
              <w:t xml:space="preserve">提供G2应当回答或保留未知的条件</w:t>
            </w:r>
          </w:p>
        </w:tc>
        <w:tc>
          <w:tcPr>
            <w:tcW w:w="938" w:type="dxa"/>
            <w:vAlign w:val="top"/>
          </w:tcPr>
          <w:p>
            <w:pPr>
              <w:pStyle w:val="TableText"/>
            </w:pPr>
            <w:r>
              <w:t xml:space="preserve">8</w:t>
            </w:r>
          </w:p>
        </w:tc>
      </w:tr>
      <w:tr>
        <w:trPr>
          <w:cantSplit/>
        </w:trPr>
        <w:tc>
          <w:tcPr>
            <w:tcW w:w="800" w:type="dxa"/>
            <w:vAlign w:val="top"/>
          </w:tcPr>
          <w:p>
            <w:pPr>
              <w:pStyle w:val="TableText"/>
            </w:pPr>
            <w:r>
              <w:t xml:space="preserve">G2</w:t>
            </w:r>
          </w:p>
        </w:tc>
        <w:tc>
          <w:tcPr>
            <w:tcW w:w="1900" w:type="dxa"/>
            <w:vAlign w:val="top"/>
          </w:tcPr>
          <w:p>
            <w:pPr>
              <w:pStyle w:val="TableText"/>
            </w:pPr>
            <w:r>
              <w:t xml:space="preserve">检验信息能否成为可靠且有用的答案</w:t>
            </w:r>
          </w:p>
        </w:tc>
        <w:tc>
          <w:tcPr>
            <w:tcW w:w="3200" w:type="dxa"/>
            <w:vAlign w:val="top"/>
          </w:tcPr>
          <w:p>
            <w:pPr>
              <w:pStyle w:val="TableText"/>
            </w:pPr>
            <w:r>
              <w:t xml:space="preserve">经典剖面、保守外包、精确符号、官方工具匹配和新增确认</w:t>
            </w:r>
          </w:p>
        </w:tc>
        <w:tc>
          <w:tcPr>
            <w:tcW w:w="2800" w:type="dxa"/>
            <w:vAlign w:val="top"/>
          </w:tcPr>
          <w:p>
            <w:pPr>
              <w:pStyle w:val="TableText"/>
            </w:pPr>
            <w:r>
              <w:t xml:space="preserve">给出G3要审查的模型假设及G5的答案评价尺度</w:t>
            </w:r>
          </w:p>
        </w:tc>
        <w:tc>
          <w:tcPr>
            <w:tcW w:w="938" w:type="dxa"/>
            <w:vAlign w:val="top"/>
          </w:tcPr>
          <w:p>
            <w:pPr>
              <w:pStyle w:val="TableText"/>
            </w:pPr>
            <w:r>
              <w:t xml:space="preserve">9</w:t>
            </w:r>
          </w:p>
        </w:tc>
      </w:tr>
      <w:tr>
        <w:trPr>
          <w:cantSplit/>
        </w:trPr>
        <w:tc>
          <w:tcPr>
            <w:tcW w:w="800" w:type="dxa"/>
            <w:vAlign w:val="top"/>
          </w:tcPr>
          <w:p>
            <w:pPr>
              <w:pStyle w:val="TableText"/>
            </w:pPr>
            <w:r>
              <w:t xml:space="preserve">G3</w:t>
            </w:r>
          </w:p>
        </w:tc>
        <w:tc>
          <w:tcPr>
            <w:tcW w:w="1900" w:type="dxa"/>
            <w:vAlign w:val="top"/>
          </w:tcPr>
          <w:p>
            <w:pPr>
              <w:pStyle w:val="TableText"/>
            </w:pPr>
            <w:r>
              <w:t xml:space="preserve">检验未知观察与生物变化对答案的影响</w:t>
            </w:r>
          </w:p>
        </w:tc>
        <w:tc>
          <w:tcPr>
            <w:tcW w:w="3200" w:type="dxa"/>
            <w:vAlign w:val="top"/>
          </w:tcPr>
          <w:p>
            <w:pPr>
              <w:pStyle w:val="TableText"/>
            </w:pPr>
            <w:r>
              <w:t xml:space="preserve">参考锚定、联合校准、偏差界、时间与测量修正</w:t>
            </w:r>
          </w:p>
        </w:tc>
        <w:tc>
          <w:tcPr>
            <w:tcW w:w="2800" w:type="dxa"/>
            <w:vAlign w:val="top"/>
          </w:tcPr>
          <w:p>
            <w:pPr>
              <w:pStyle w:val="TableText"/>
            </w:pPr>
            <w:r>
              <w:t xml:space="preserve">明确何时需要新的参考或观察资料</w:t>
            </w:r>
          </w:p>
        </w:tc>
        <w:tc>
          <w:tcPr>
            <w:tcW w:w="938" w:type="dxa"/>
            <w:vAlign w:val="top"/>
          </w:tcPr>
          <w:p>
            <w:pPr>
              <w:pStyle w:val="TableText"/>
            </w:pPr>
            <w:r>
              <w:t xml:space="preserve">10</w:t>
            </w:r>
          </w:p>
        </w:tc>
      </w:tr>
      <w:tr>
        <w:trPr>
          <w:cantSplit/>
        </w:trPr>
        <w:tc>
          <w:tcPr>
            <w:tcW w:w="800" w:type="dxa"/>
            <w:vAlign w:val="top"/>
          </w:tcPr>
          <w:p>
            <w:pPr>
              <w:pStyle w:val="TableText"/>
            </w:pPr>
            <w:r>
              <w:t xml:space="preserve">G4</w:t>
            </w:r>
          </w:p>
        </w:tc>
        <w:tc>
          <w:tcPr>
            <w:tcW w:w="1900" w:type="dxa"/>
            <w:vAlign w:val="top"/>
          </w:tcPr>
          <w:p>
            <w:pPr>
              <w:pStyle w:val="TableText"/>
            </w:pPr>
            <w:r>
              <w:t xml:space="preserve">检验真实补测价值，并分解作用来源</w:t>
            </w:r>
          </w:p>
        </w:tc>
        <w:tc>
          <w:tcPr>
            <w:tcW w:w="3200" w:type="dxa"/>
            <w:vAlign w:val="top"/>
          </w:tcPr>
          <w:p>
            <w:pPr>
              <w:pStyle w:val="TableText"/>
            </w:pPr>
            <w:r>
              <w:t xml:space="preserve">实际记录遮盖/揭盲、同成本比较、外部队列与受控归因</w:t>
            </w:r>
          </w:p>
        </w:tc>
        <w:tc>
          <w:tcPr>
            <w:tcW w:w="2800" w:type="dxa"/>
            <w:vAlign w:val="top"/>
          </w:tcPr>
          <w:p>
            <w:pPr>
              <w:pStyle w:val="TableText"/>
            </w:pPr>
            <w:r>
              <w:t xml:space="preserve">为可行动作提供真实数据依据</w:t>
            </w:r>
          </w:p>
        </w:tc>
        <w:tc>
          <w:tcPr>
            <w:tcW w:w="938" w:type="dxa"/>
            <w:vAlign w:val="top"/>
          </w:tcPr>
          <w:p>
            <w:pPr>
              <w:pStyle w:val="TableText"/>
            </w:pPr>
            <w:r>
              <w:t xml:space="preserve">18</w:t>
            </w:r>
          </w:p>
        </w:tc>
      </w:tr>
      <w:tr>
        <w:trPr>
          <w:cantSplit/>
        </w:trPr>
        <w:tc>
          <w:tcPr>
            <w:tcW w:w="800" w:type="dxa"/>
            <w:vAlign w:val="top"/>
          </w:tcPr>
          <w:p>
            <w:pPr>
              <w:pStyle w:val="TableText"/>
            </w:pPr>
            <w:r>
              <w:t xml:space="preserve">G5</w:t>
            </w:r>
          </w:p>
        </w:tc>
        <w:tc>
          <w:tcPr>
            <w:tcW w:w="1900" w:type="dxa"/>
            <w:vAlign w:val="top"/>
          </w:tcPr>
          <w:p>
            <w:pPr>
              <w:pStyle w:val="TableText"/>
            </w:pPr>
            <w:r>
              <w:t xml:space="preserve">检验诊断能否变成有效的下一步采集</w:t>
            </w:r>
          </w:p>
        </w:tc>
        <w:tc>
          <w:tcPr>
            <w:tcW w:w="3200" w:type="dxa"/>
            <w:vAlign w:val="top"/>
          </w:tcPr>
          <w:p>
            <w:pPr>
              <w:pStyle w:val="TableText"/>
            </w:pPr>
            <w:r>
              <w:t xml:space="preserve">独立先导—确认、动作切换、固定策略对照及生物追踪</w:t>
            </w:r>
          </w:p>
        </w:tc>
        <w:tc>
          <w:tcPr>
            <w:tcW w:w="2800" w:type="dxa"/>
            <w:vAlign w:val="top"/>
          </w:tcPr>
          <w:p>
            <w:pPr>
              <w:pStyle w:val="TableText"/>
            </w:pPr>
            <w:r>
              <w:t xml:space="preserve">以新增信息回到原目标，完成行动验证</w:t>
            </w:r>
          </w:p>
        </w:tc>
        <w:tc>
          <w:tcPr>
            <w:tcW w:w="938" w:type="dxa"/>
            <w:vAlign w:val="top"/>
          </w:tcPr>
          <w:p>
            <w:pPr>
              <w:pStyle w:val="TableText"/>
            </w:pPr>
            <w:r>
              <w:t xml:space="preserve">14</w:t>
            </w:r>
          </w:p>
        </w:tc>
      </w:tr>
    </w:tbl>
    <w:p>
      <w:pPr>
        <w:pStyle w:val="Normal"/>
      </w:pPr>
      <w:r>
        <w:t xml:space="preserve"/>
      </w:r>
    </w:p>
    <w:p>
      <w:pPr>
        <w:pStyle w:val="Normal"/>
      </w:pPr>
      <w:r>
        <w:t xml:space="preserve">闭环的检验逻辑是：</w:t>
      </w:r>
      <w:r>
        <w:rPr>
          <w:b/>
        </w:rPr>
        <w:t xml:space="preserve">G1确认某种信息缺口；G2检验这类资料能给出什么答案；G3检查答案依赖的观察和生物条件；G4检验实际补充记录的价值；G5根据缺口选择行动，再用独立资料评价同一目标是否得到更好的答案。</w:t>
      </w:r>
      <w:r>
        <w:t xml:space="preserve"/>
      </w:r>
    </w:p>
    <w:p>
      <w:pPr>
        <w:pStyle w:val="Normal"/>
      </w:pPr>
      <w:r>
        <w:t xml:space="preserve">主闭环在声明的受控模型、观察家族和成本菜单中成立。真实数据进一步支持补测价值和生物信息连接；其评价终点与模拟参数真值明确分开。</w:t>
      </w:r>
    </w:p>
    <w:p>
      <w:pPr>
        <w:pStyle w:val="Heading2"/>
      </w:pPr>
      <w:r>
        <w:t xml:space="preserve">5.1 G1：互补价值由结构决定</w:t>
      </w:r>
    </w:p>
    <w:p>
      <w:pPr>
        <w:pStyle w:val="Normal"/>
      </w:pPr>
      <w:r>
        <w:t xml:space="preserve">G1既有实验保留了兼容参数别名、普通/高频/稀有事件的有限样本恢复、24个冻结候选设计，以及不同观察知识条件下的比较。它们分别回答“是否存在歧义”“理论信息能否在样本中兑现”“互补作用是否因设计而异”。</w:t>
      </w:r>
    </w:p>
    <w:p>
      <w:pPr>
        <w:pStyle w:val="Normal"/>
      </w:pPr>
      <w:r>
        <w:t xml:space="preserve">复杂扩展覆盖3、4、6、8事件，链、稠密DAG与全双向网络，包含360个参数点和2160项设计检查，最高到8事件、64参数。固定10,000次基因测量预算下，六、八事件稠密DAG的互补/重复目标信息比中位数为21.37和13.96；全双向网络对应约1.02和0.93。</w:t>
      </w:r>
    </w:p>
    <w:p>
      <w:pPr>
        <w:pStyle w:val="Normal"/>
      </w:pPr>
      <w:r>
        <w:t xml:space="preserve">这一发现说明：</w:t>
      </w:r>
      <w:r>
        <w:rPr>
          <w:b/>
        </w:rPr>
        <w:t xml:space="preserve">有价值的是补到目标缺少的方向，而不是把数据形式做得更多。</w:t>
      </w:r>
      <w:r>
        <w:t xml:space="preserve"> 全双向网络并不普遍受益，恰好界定了这一规律的结构条件。信息比是局部总体几何，不能当作有限样本估计精度已实测提高相同倍数。46/2160项秩对容差不稳定的检查也保留在结果中。</w:t>
      </w:r>
      <w:hyperlink r:id="link15">
        <w:r>
          <w:rPr>
            <w:color w:val="0072B2"/>
          </w:rPr>
          <w:t xml:space="preserve">G1报告</w:t>
        </w:r>
      </w:hyperlink>
      <w:r>
        <w:t xml:space="preserve"> · </w:t>
      </w:r>
      <w:hyperlink r:id="link16">
        <w:r>
          <w:rPr>
            <w:color w:val="0072B2"/>
          </w:rPr>
          <w:t xml:space="preserve">复杂几何原始结果</w:t>
        </w:r>
      </w:hyperlink>
      <w:r>
        <w:t xml:space="preserve"/>
      </w:r>
    </w:p>
    <w:p>
      <w:pPr>
        <w:pStyle w:val="Heading2"/>
      </w:pPr>
      <w:r>
        <w:t xml:space="preserve">5.2 G2：可靠和有用需要同时评价</w:t>
      </w:r>
    </w:p>
    <w:p>
      <w:pPr>
        <w:pStyle w:val="Normal"/>
      </w:pPr>
      <w:r>
        <w:t xml:space="preserve">主要幅度区间验证包含1800个数据集，另有200个新增确认，覆盖互补、弱观察和不识别设计及多个样本量。主互补16,000样本条件下，保守外包200/200覆盖且有限，100/200给出正确方向；完整经典剖面覆盖93.5%，正确方向70.5%。</w:t>
      </w:r>
    </w:p>
    <w:p>
      <w:pPr>
        <w:pStyle w:val="Normal"/>
      </w:pPr>
      <w:r>
        <w:t xml:space="preserve">新增互补确认中，两法均100/100覆盖且有限，经典剖面67/100、保守外包50/100给出正确方向。这说明经典完整信息推断与保守推断提供不同的可靠性—实用性取舍。</w:t>
      </w:r>
    </w:p>
    <w:p>
      <w:pPr>
        <w:pStyle w:val="Normal"/>
      </w:pPr>
      <w:r>
        <w:t xml:space="preserve">弱观察新增确认中，经典方法90/100通过预设数值检查，88/100有效且覆盖；子系统外包保持无界。这里的无界不能被解释为完整三基因资料绝对不可回答，因为保守分支没有利用全部第三基因信息。</w:t>
      </w:r>
    </w:p>
    <w:p>
      <w:pPr>
        <w:pStyle w:val="Normal"/>
      </w:pPr>
      <w:r>
        <w:t xml:space="preserve">官方oMHN匹配比较的800组配对估计高度一致，最大差约1.33×10⁻⁹。这是临床观察事件/吸收似然的专门匹配合同，与固定t=1的主实验分开。这一对照验证了匹配合同下的实现关系，也说明项目价值可以来自问题与推断组织，而无需声称新估计器全面优于官方工具。</w:t>
      </w:r>
      <w:hyperlink r:id="link17">
        <w:r>
          <w:rPr>
            <w:color w:val="0072B2"/>
          </w:rPr>
          <w:t xml:space="preserve">G2报告</w:t>
        </w:r>
      </w:hyperlink>
      <w:r>
        <w:t xml:space="preserve"> · </w:t>
      </w:r>
      <w:hyperlink r:id="link18">
        <w:r>
          <w:rPr>
            <w:color w:val="0072B2"/>
          </w:rPr>
          <w:t xml:space="preserve">当前幅度结果</w:t>
        </w:r>
      </w:hyperlink>
      <w:r>
        <w:t xml:space="preserve"> · </w:t>
      </w:r>
      <w:hyperlink r:id="link19">
        <w:r>
          <w:rPr>
            <w:color w:val="0072B2"/>
          </w:rPr>
          <w:t xml:space="preserve">官方匹配估计</w:t>
        </w:r>
      </w:hyperlink>
      <w:r>
        <w:t xml:space="preserve"/>
      </w:r>
    </w:p>
    <w:p>
      <w:pPr>
        <w:pStyle w:val="Heading2"/>
      </w:pPr>
      <w:r>
        <w:t xml:space="preserve">5.3 G3：把“观察不一样”和“生物不一样”放进同一审查</w:t>
      </w:r>
    </w:p>
    <w:p>
      <w:pPr>
        <w:pStyle w:val="Normal"/>
      </w:pPr>
      <w:r>
        <w:t xml:space="preserve">G3检验生物差异、选择偏差、参考锚定及模型失配。参考X在两场景中作答42.4%和36.6%，覆盖95.8%和95.4%，表明额外参考信息可以改善对固定参考目标的回答。它不能使所有方向重合的差异自动分离。</w:t>
      </w:r>
    </w:p>
    <w:p>
      <w:pPr>
        <w:pStyle w:val="Normal"/>
      </w:pPr>
      <w:r>
        <w:t xml:space="preserve">时间失配提供了清晰的修正实例：在该冻结场景中，失配共享模型的非覆盖率为65%；匹配时间模型降低到7.5%；额外估计时间干扰参数时为4.5%。这说明正确建模观察时间能够恢复可靠性，方法输出是否可信依赖于观察条件的解释是否正确。</w:t>
      </w:r>
    </w:p>
    <w:p>
      <w:pPr>
        <w:pStyle w:val="Normal"/>
      </w:pPr>
      <w:r>
        <w:t xml:space="preserve">测量误差修正、联合敏感性和精确偏差界显示了不同程度的改善与拒答代价。G3由此给出一个重要判断：</w:t>
      </w:r>
      <w:r>
        <w:rPr>
          <w:b/>
        </w:rPr>
        <w:t xml:space="preserve">参考资料和观察模型是科学证据的一部分，不能完全由更强的拟合器代替。</w:t>
      </w:r>
      <w:r>
        <w:t xml:space="preserve"/>
      </w:r>
      <w:hyperlink r:id="link20">
        <w:r>
          <w:rPr>
            <w:color w:val="0072B2"/>
          </w:rPr>
          <w:t xml:space="preserve">G3报告</w:t>
        </w:r>
      </w:hyperlink>
      <w:r>
        <w:t xml:space="preserve"> · </w:t>
      </w:r>
      <w:hyperlink r:id="link21">
        <w:r>
          <w:rPr>
            <w:color w:val="0072B2"/>
          </w:rPr>
          <w:t xml:space="preserve">时间与测量结果</w:t>
        </w:r>
      </w:hyperlink>
      <w:r>
        <w:t xml:space="preserve"> · </w:t>
      </w:r>
      <w:hyperlink r:id="link22">
        <w:r>
          <w:rPr>
            <w:color w:val="0072B2"/>
          </w:rPr>
          <w:t xml:space="preserve">参考锚定</w:t>
        </w:r>
      </w:hyperlink>
      <w:r>
        <w:t xml:space="preserve"/>
      </w:r>
    </w:p>
    <w:p>
      <w:pPr>
        <w:pStyle w:val="Heading2"/>
      </w:pPr>
      <w:r>
        <w:t xml:space="preserve">5.4 G4：真实补测有效，还要说明为什么有效</w:t>
      </w:r>
    </w:p>
    <w:p>
      <w:pPr>
        <w:pStyle w:val="Normal"/>
      </w:pPr>
      <w:r>
        <w:t xml:space="preserve">G4从实际患者记录出发遮盖或开放信息，在固定成本下比较补测、扩样与强基线。实测记录提供评价参照，因而能够直接检验隐藏记录预测与联合频率估计。GENIE中的内部实验与TCGA两个外部队列给出补测价值证据，后者总log-score增益约0.00781和0.00799，区间均高于零。</w:t>
      </w:r>
    </w:p>
    <w:p>
      <w:pPr>
        <w:pStyle w:val="Normal"/>
      </w:pPr>
      <w:r>
        <w:t xml:space="preserve">后续扩展在预定候选范围内，使用探索患者筛选并冻结9个采用队列，再由分开的1383名确认患者记录评价。九个队列总补测收益方向全部为正，七个95%区间高于零；七个也通过该九队列比较族的Holm校正。它扩大了结果的来源范围，但对应的是冻结后的采用队列，不能写成全部癌种均正向。</w:t>
      </w:r>
    </w:p>
    <w:p>
      <w:pPr>
        <w:pStyle w:val="Normal"/>
      </w:pPr>
      <w:r>
        <w:t xml:space="preserve">“为什么有效”的实验保持成本和实测边际，改变桥接记录的关联剂量，并分解总收益为去关联补测收益和配对依赖贡献，同时检验拟合方式。结果支持总补测价值，但不同来源的归因不同：LUAD外部配对项约−0.011146，与two-step的差异接近零；不能把总收益解释成普遍正向的配对机制或联合优化器独有优势。</w:t>
      </w:r>
    </w:p>
    <w:p>
      <w:pPr>
        <w:pStyle w:val="Normal"/>
      </w:pPr>
      <w:r>
        <w:t xml:space="preserve">这使G4的结论更具体：</w:t>
      </w:r>
      <w:r>
        <w:rPr>
          <w:b/>
        </w:rPr>
        <w:t xml:space="preserve">补测能够增加可用信息，而哪一部分信息有益，需要针对目标和外部来源检验。</w:t>
      </w:r>
      <w:r>
        <w:t xml:space="preserve"> 这里的分解是声明干预与估计器下的操作性归因，尚不是唯一的生物因果分解。</w:t>
      </w:r>
      <w:hyperlink r:id="link23">
        <w:r>
          <w:rPr>
            <w:color w:val="0072B2"/>
          </w:rPr>
          <w:t xml:space="preserve">G4报告</w:t>
        </w:r>
      </w:hyperlink>
      <w:r>
        <w:t xml:space="preserve"> · </w:t>
      </w:r>
      <w:hyperlink r:id="link24">
        <w:r>
          <w:rPr>
            <w:color w:val="0072B2"/>
          </w:rPr>
          <w:t xml:space="preserve">多队列正式结果</w:t>
        </w:r>
      </w:hyperlink>
      <w:r>
        <w:t xml:space="preserve"> · </w:t>
      </w:r>
      <w:hyperlink r:id="link25">
        <w:r>
          <w:rPr>
            <w:color w:val="0072B2"/>
          </w:rPr>
          <w:t xml:space="preserve">受控归因</w:t>
        </w:r>
      </w:hyperlink>
      <w:r>
        <w:t xml:space="preserve"/>
      </w:r>
    </w:p>
    <w:p>
      <w:pPr>
        <w:pStyle w:val="Heading2"/>
      </w:pPr>
      <w:r>
        <w:t xml:space="preserve">5.5 G5：诊断必须改变行动，并改善原目标的答案</w:t>
      </w:r>
    </w:p>
    <w:p>
      <w:pPr>
        <w:pStyle w:val="Normal"/>
      </w:pPr>
      <w:r>
        <w:t xml:space="preserve">G5主验证包含四种信息缺口、240个独立先导—确认数据集，每种情景60条，所有主策略追加预算均为6000单位。它直接检验：诊断后的采集，能否让原交互目标更可回答。</w:t>
      </w:r>
    </w:p>
    <w:tbl>
      <w:tblPr>
        <w:tblW w:w="9638" w:type="dxa"/>
        <w:tblLayout w:type="fixed"/>
        <w:tblBorders>
          <w:top w:val="single" w:sz="4" w:color="B7C6CE"/>
          <w:left w:val="single" w:sz="4" w:color="B7C6CE"/>
          <w:bottom w:val="single" w:sz="4" w:color="B7C6CE"/>
          <w:right w:val="single" w:sz="4" w:color="B7C6CE"/>
          <w:insideH w:val="single" w:sz="4" w:color="B7C6CE"/>
          <w:insideV w:val="single" w:sz="4" w:color="B7C6CE"/>
        </w:tblBorders>
        <w:tblCellMar>
          <w:top w:w="80" w:type="dxa"/>
          <w:left w:w="80" w:type="dxa"/>
          <w:bottom w:w="80" w:type="dxa"/>
          <w:right w:w="80" w:type="dxa"/>
        </w:tblCellMar>
      </w:tblPr>
      <w:tblGrid>
        <w:gridCol w:w="3838"/>
        <w:gridCol w:w="1933"/>
        <w:gridCol w:w="1933"/>
        <w:gridCol w:w="1934"/>
      </w:tblGrid>
      <w:tr>
        <w:trPr>
          <w:cantSplit/>
          <w:tblHeader/>
        </w:trPr>
        <w:tc>
          <w:tcPr>
            <w:tcW w:w="3838" w:type="dxa"/>
            <w:shd w:val="clear" w:fill="EAF3F8"/>
            <w:vAlign w:val="top"/>
          </w:tcPr>
          <w:p>
            <w:pPr>
              <w:pStyle w:val="TableText"/>
            </w:pPr>
            <w:r>
              <w:rPr>
                <w:b/>
              </w:rPr>
              <w:t xml:space="preserve">主要策略</w:t>
            </w:r>
          </w:p>
        </w:tc>
        <w:tc>
          <w:tcPr>
            <w:tcW w:w="1933" w:type="dxa"/>
            <w:shd w:val="clear" w:fill="EAF3F8"/>
            <w:vAlign w:val="top"/>
          </w:tcPr>
          <w:p>
            <w:pPr>
              <w:pStyle w:val="TableText"/>
            </w:pPr>
            <w:r>
              <w:rPr>
                <w:b/>
              </w:rPr>
              <w:t xml:space="preserve">有限区间比例</w:t>
            </w:r>
          </w:p>
        </w:tc>
        <w:tc>
          <w:tcPr>
            <w:tcW w:w="1933" w:type="dxa"/>
            <w:shd w:val="clear" w:fill="EAF3F8"/>
            <w:vAlign w:val="top"/>
          </w:tcPr>
          <w:p>
            <w:pPr>
              <w:pStyle w:val="TableText"/>
            </w:pPr>
            <w:r>
              <w:rPr>
                <w:b/>
              </w:rPr>
              <w:t xml:space="preserve">正确方向比例</w:t>
            </w:r>
          </w:p>
        </w:tc>
        <w:tc>
          <w:tcPr>
            <w:tcW w:w="1934" w:type="dxa"/>
            <w:shd w:val="clear" w:fill="EAF3F8"/>
            <w:vAlign w:val="top"/>
          </w:tcPr>
          <w:p>
            <w:pPr>
              <w:pStyle w:val="TableText"/>
            </w:pPr>
            <w:r>
              <w:rPr>
                <w:b/>
              </w:rPr>
              <w:t xml:space="preserve">观察到的覆盖率</w:t>
            </w:r>
          </w:p>
        </w:tc>
      </w:tr>
      <w:tr>
        <w:trPr>
          <w:cantSplit/>
        </w:trPr>
        <w:tc>
          <w:tcPr>
            <w:tcW w:w="3838" w:type="dxa"/>
            <w:vAlign w:val="top"/>
          </w:tcPr>
          <w:p>
            <w:pPr>
              <w:pStyle w:val="TableText"/>
            </w:pPr>
            <w:r>
              <w:t xml:space="preserve">继续同类扩样</w:t>
            </w:r>
          </w:p>
        </w:tc>
        <w:tc>
          <w:tcPr>
            <w:tcW w:w="1933" w:type="dxa"/>
            <w:vAlign w:val="top"/>
          </w:tcPr>
          <w:p>
            <w:pPr>
              <w:pStyle w:val="TableText"/>
            </w:pPr>
            <w:r>
              <w:t xml:space="preserve">40.00%</w:t>
            </w:r>
          </w:p>
        </w:tc>
        <w:tc>
          <w:tcPr>
            <w:tcW w:w="1933" w:type="dxa"/>
            <w:vAlign w:val="top"/>
          </w:tcPr>
          <w:p>
            <w:pPr>
              <w:pStyle w:val="TableText"/>
            </w:pPr>
            <w:r>
              <w:t xml:space="preserve">22.08%</w:t>
            </w:r>
          </w:p>
        </w:tc>
        <w:tc>
          <w:tcPr>
            <w:tcW w:w="1934" w:type="dxa"/>
            <w:vAlign w:val="top"/>
          </w:tcPr>
          <w:p>
            <w:pPr>
              <w:pStyle w:val="TableText"/>
            </w:pPr>
            <w:r>
              <w:t xml:space="preserve">100%</w:t>
            </w:r>
          </w:p>
        </w:tc>
      </w:tr>
      <w:tr>
        <w:trPr>
          <w:cantSplit/>
        </w:trPr>
        <w:tc>
          <w:tcPr>
            <w:tcW w:w="3838" w:type="dxa"/>
            <w:vAlign w:val="top"/>
          </w:tcPr>
          <w:p>
            <w:pPr>
              <w:pStyle w:val="TableText"/>
            </w:pPr>
            <w:r>
              <w:t xml:space="preserve">开发期最佳固定行动</w:t>
            </w:r>
          </w:p>
        </w:tc>
        <w:tc>
          <w:tcPr>
            <w:tcW w:w="1933" w:type="dxa"/>
            <w:vAlign w:val="top"/>
          </w:tcPr>
          <w:p>
            <w:pPr>
              <w:pStyle w:val="TableText"/>
            </w:pPr>
            <w:r>
              <w:t xml:space="preserve">66.25%</w:t>
            </w:r>
          </w:p>
        </w:tc>
        <w:tc>
          <w:tcPr>
            <w:tcW w:w="1933" w:type="dxa"/>
            <w:vAlign w:val="top"/>
          </w:tcPr>
          <w:p>
            <w:pPr>
              <w:pStyle w:val="TableText"/>
            </w:pPr>
            <w:r>
              <w:t xml:space="preserve">24.58%</w:t>
            </w:r>
          </w:p>
        </w:tc>
        <w:tc>
          <w:tcPr>
            <w:tcW w:w="1934" w:type="dxa"/>
            <w:vAlign w:val="top"/>
          </w:tcPr>
          <w:p>
            <w:pPr>
              <w:pStyle w:val="TableText"/>
            </w:pPr>
            <w:r>
              <w:t xml:space="preserve">100%</w:t>
            </w:r>
          </w:p>
        </w:tc>
      </w:tr>
      <w:tr>
        <w:trPr>
          <w:cantSplit/>
        </w:trPr>
        <w:tc>
          <w:tcPr>
            <w:tcW w:w="3838" w:type="dxa"/>
            <w:vAlign w:val="top"/>
          </w:tcPr>
          <w:p>
            <w:pPr>
              <w:pStyle w:val="TableText"/>
            </w:pPr>
            <w:r>
              <w:t xml:space="preserve">目标c-opt采集</w:t>
            </w:r>
          </w:p>
        </w:tc>
        <w:tc>
          <w:tcPr>
            <w:tcW w:w="1933" w:type="dxa"/>
            <w:vAlign w:val="top"/>
          </w:tcPr>
          <w:p>
            <w:pPr>
              <w:pStyle w:val="TableText"/>
            </w:pPr>
            <w:r>
              <w:t xml:space="preserve">83.75%</w:t>
            </w:r>
          </w:p>
        </w:tc>
        <w:tc>
          <w:tcPr>
            <w:tcW w:w="1933" w:type="dxa"/>
            <w:vAlign w:val="top"/>
          </w:tcPr>
          <w:p>
            <w:pPr>
              <w:pStyle w:val="TableText"/>
            </w:pPr>
            <w:r>
              <w:t xml:space="preserve">46.25%</w:t>
            </w:r>
          </w:p>
        </w:tc>
        <w:tc>
          <w:tcPr>
            <w:tcW w:w="1934" w:type="dxa"/>
            <w:vAlign w:val="top"/>
          </w:tcPr>
          <w:p>
            <w:pPr>
              <w:pStyle w:val="TableText"/>
            </w:pPr>
            <w:r>
              <w:t xml:space="preserve">100%</w:t>
            </w:r>
          </w:p>
        </w:tc>
      </w:tr>
    </w:tbl>
    <w:p>
      <w:pPr>
        <w:pStyle w:val="Normal"/>
      </w:pPr>
      <w:r>
        <w:t xml:space="preserve"/>
      </w:r>
    </w:p>
    <w:p>
      <w:pPr>
        <w:pStyle w:val="Normal"/>
      </w:pPr>
      <w:r>
        <w:t xml:space="preserve">相对开发期最佳固定行动，目标c-opt有限区间比例提高17.50个百分点，正确方向比例提高21.67个百分点；相对同类扩样分别提高43.75和24.17个百分点。分母均240，包含80个零效应数据集，零效应不能计为正确的正/负方向回答。</w:t>
      </w:r>
    </w:p>
    <w:p>
      <w:pPr>
        <w:pStyle w:val="Normal"/>
      </w:pPr>
      <w:r>
        <w:t xml:space="preserve">另外60次同样本量检查仍观察到动作切换，支持行动差异来自信息条件，而不仅是初始样本量不同。D4另有独立合同的补充验证，用于扩展检查，预算与终点不能和R8混算。</w:t>
      </w:r>
    </w:p>
    <w:p>
      <w:pPr>
        <w:pStyle w:val="Normal"/>
      </w:pPr>
      <w:r>
        <w:t xml:space="preserve">这些结果完成了最直接的行动闭环：</w:t>
      </w:r>
      <w:r>
        <w:rPr>
          <w:b/>
        </w:rPr>
        <w:t xml:space="preserve">信息缺口不同，值得采集的数据不同；按目标选择数据，可以增加独立确认中真正得到的答案。</w:t>
      </w:r>
      <w:r>
        <w:t xml:space="preserve"> c-opt不是每个场景都最优，240次没有观察到错误方向也不等于真实错误率为零；主展示的有界宽度只表示区间与[−4,4]的交集，原无界区间保留。</w:t>
      </w:r>
      <w:hyperlink r:id="link26">
        <w:r>
          <w:rPr>
            <w:color w:val="0072B2"/>
          </w:rPr>
          <w:t xml:space="preserve">G5报告</w:t>
        </w:r>
      </w:hyperlink>
      <w:r>
        <w:t xml:space="preserve"> · </w:t>
      </w:r>
      <w:hyperlink r:id="link27">
        <w:r>
          <w:rPr>
            <w:color w:val="0072B2"/>
          </w:rPr>
          <w:t xml:space="preserve">全部主策略记录</w:t>
        </w:r>
      </w:hyperlink>
      <w:r>
        <w:t xml:space="preserve"> · </w:t>
      </w:r>
      <w:hyperlink r:id="link28">
        <w:r>
          <w:rPr>
            <w:color w:val="0072B2"/>
          </w:rPr>
          <w:t xml:space="preserve">同样本量检查</w:t>
        </w:r>
      </w:hyperlink>
      <w:r>
        <w:t xml:space="preserve"/>
      </w:r>
    </w:p>
    <w:p>
      <w:pPr>
        <w:pStyle w:val="Heading2"/>
      </w:pPr>
      <w:r>
        <w:t xml:space="preserve">5.6 真实数据覆盖与独立性怎样计算</w:t>
      </w:r>
    </w:p>
    <w:p>
      <w:pPr>
        <w:pStyle w:val="Normal"/>
      </w:pPr>
      <w:r>
        <w:t xml:space="preserve">正式外部补测验证覆盖原2个TCGA队列与新增9个采用队列，共11个研究队列。GENIE提供既有训练与受控记录实验，其不同面板是观察环境，不能计成同样数量的新研究。新增队列的1383人按队列患者记录计数，不额外宣称跨所有公开研究已经完成患者去重。</w:t>
      </w:r>
    </w:p>
    <w:p>
      <w:pPr>
        <w:pStyle w:val="Normal"/>
      </w:pPr>
      <w:r>
        <w:t xml:space="preserve">14个研究、四癌种、5867人的数字属于候选资格审查范围，不能当作全部已完成正式确认。TRACERx原发、转移组织和ctDNA的多个终点属于同一研究家族；它们增加评价维度，而不增加独立队列个数。</w:t>
      </w:r>
      <w:hyperlink r:id="link29">
        <w:r>
          <w:rPr>
            <w:color w:val="0072B2"/>
          </w:rPr>
          <w:t xml:space="preserve">数据来源说明</w:t>
        </w:r>
      </w:hyperlink>
      <w:r>
        <w:t xml:space="preserve"/>
      </w:r>
    </w:p>
    <w:p>
      <w:pPr>
        <w:pStyle w:val="Heading1"/>
      </w:pPr>
      <w:r>
        <w:t xml:space="preserve">6. 真实生物信息的连接：从测到记录，到找回后续支系</w:t>
      </w:r>
    </w:p>
    <w:p>
      <w:pPr>
        <w:pStyle w:val="Normal"/>
      </w:pPr>
      <w:r>
        <w:t xml:space="preserve">为了使“信息有价值”具有生物关联，项目增加TRACERx原发多区域、转移组织和ctDNA资料上的桥接。这些资料属于同一研究家族，患者有重叠，不算三个独立外部重复。方法或标记选择在开发资料上冻结，后续组织与确认结局用于评分。</w:t>
      </w:r>
    </w:p>
    <w:p>
      <w:pPr>
        <w:pStyle w:val="Heading2"/>
      </w:pPr>
      <w:r>
        <w:t xml:space="preserve">6.1 补充真实区域记录能恢复后续组织支持的支系</w:t>
      </w:r>
    </w:p>
    <w:p>
      <w:pPr>
        <w:pStyle w:val="Normal"/>
      </w:pPr>
      <w:r>
        <w:t xml:space="preserve">有后续组织的14名采集确认患者中，9名具备合格多标记支系参考。9/14是可评价资格，不是成功比例；其余病例保留为参考不可评价。</w:t>
      </w:r>
    </w:p>
    <w:p>
      <w:pPr>
        <w:pStyle w:val="Normal"/>
      </w:pPr>
      <w:r>
        <w:t xml:space="preserve">开发期冻结的经典固定方案在追加预算10、14、20时，患者平均后续支持支系回收率分别为54.44%、54.44%和77.78%。支系评价要求原发与校正后续簇拥有至少三个共同自有变异，并满足同一区域的读数条件。</w:t>
      </w:r>
    </w:p>
    <w:p>
      <w:pPr>
        <w:pStyle w:val="Normal"/>
      </w:pPr>
      <w:r>
        <w:t xml:space="preserve">它把“补记录”的价值连到实际后续组织支持的信息。预算上升伴随更多测量，这个轨迹不能单独证明同成本策略优势；作者重建的支系也不等于直接证明该支系导致转移。</w:t>
      </w:r>
      <w:hyperlink r:id="link30">
        <w:r>
          <w:rPr>
            <w:color w:val="0072B2"/>
          </w:rPr>
          <w:t xml:space="preserve">后续支系正式数据</w:t>
        </w:r>
      </w:hyperlink>
      <w:r>
        <w:t xml:space="preserve"/>
      </w:r>
    </w:p>
    <w:p>
      <w:pPr>
        <w:pStyle w:val="Heading2"/>
      </w:pPr>
      <w:r>
        <w:t xml:space="preserve">6.2 50个目标导向标记保存了本轮观察到的后续支系信息</w:t>
      </w:r>
    </w:p>
    <w:p>
      <w:pPr>
        <w:pStyle w:val="Normal"/>
      </w:pPr>
      <w:r>
        <w:t xml:space="preserve">在冻结标记选择后的严格次级评分中，10名合格配对确认患者共有20个后续组织支持的非主干目标。K50固定主干＋分支均衡方案恢复11/20个目标，复发前恢复6/20；在这10人中，与完整170–200标记参照逐患者完全相同。</w:t>
      </w:r>
    </w:p>
    <w:p>
      <w:pPr>
        <w:pStyle w:val="Normal"/>
      </w:pPr>
      <w:r>
        <w:t xml:space="preserve">11/20的目标合并比例是55%；患者平均回收率是63.33%，两者使用不同分母。这个结果表明：</w:t>
      </w:r>
      <w:r>
        <w:rPr>
          <w:b/>
        </w:rPr>
        <w:t xml:space="preserve">围绕明确的支系目标选择记录，可以用较小的已测标记子集保留重要的后续谱系信息。</w:t>
      </w:r>
      <w:r>
        <w:t xml:space="preserve"> 它不是重新测序试验，没有直接测量小面板重新实施后的噪声或费用，也不能据此宣称临床成本降低74%。</w:t>
      </w:r>
      <w:hyperlink r:id="link31">
        <w:r>
          <w:rPr>
            <w:color w:val="0072B2"/>
          </w:rPr>
          <w:t xml:space="preserve">后续组织目标评分</w:t>
        </w:r>
      </w:hyperlink>
      <w:r>
        <w:t xml:space="preserve"> · </w:t>
      </w:r>
      <w:hyperlink r:id="link32">
        <w:r>
          <w:rPr>
            <w:color w:val="0072B2"/>
          </w:rPr>
          <w:t xml:space="preserve">正式图数据</w:t>
        </w:r>
      </w:hyperlink>
      <w:r>
        <w:t xml:space="preserve"/>
      </w:r>
    </w:p>
    <w:p>
      <w:pPr>
        <w:pStyle w:val="Normal"/>
      </w:pPr>
      <w:r>
        <w:t xml:space="preserve">真实采集的自适应优势则需要分开理解。LUAD主比较中诊断策略相对最佳固定的支系增益只有0.325个百分点，区间跨零；血浆信息自适应方案未超过强固定分支多样性方案。在39名真实复发患者中，均衡和自适应均23人在复发前检出，只比主干方案多1人。这些结果支持目标信息保存，尚未建立真实诊断独有优势或临床获益。</w:t>
      </w:r>
      <w:hyperlink r:id="link26">
        <w:r>
          <w:rPr>
            <w:color w:val="0072B2"/>
          </w:rPr>
          <w:t xml:space="preserve">G5生物结果与分母</w:t>
        </w:r>
      </w:hyperlink>
      <w:r>
        <w:t xml:space="preserve"/>
      </w:r>
    </w:p>
    <w:p>
      <w:pPr>
        <w:pStyle w:val="Normal"/>
      </w:pPr>
      <w:r>
        <w:t xml:space="preserve">原始资料还保留了一例非恶性淋巴细胞来源突变造成的血浆阳性混杂。它提示“检测到标记”与“确认肿瘤来源”需要分开审查，也把G3的来源解释问题连接到实际追踪资料。现有实验没有通过知道未来结局后过滤该病例来改善结果，也没有建立通用来源混杂排除器。</w:t>
      </w:r>
    </w:p>
    <w:p>
      <w:pPr>
        <w:pStyle w:val="Heading1"/>
      </w:pPr>
      <w:r>
        <w:t xml:space="preserve">7. 当前最值得突出的发现</w:t>
      </w:r>
    </w:p>
    <w:tbl>
      <w:tblPr>
        <w:tblW w:w="9638" w:type="dxa"/>
        <w:tblLayout w:type="fixed"/>
        <w:tblBorders>
          <w:top w:val="single" w:sz="4" w:color="B7C6CE"/>
          <w:left w:val="single" w:sz="4" w:color="B7C6CE"/>
          <w:bottom w:val="single" w:sz="4" w:color="B7C6CE"/>
          <w:right w:val="single" w:sz="4" w:color="B7C6CE"/>
          <w:insideH w:val="single" w:sz="4" w:color="B7C6CE"/>
          <w:insideV w:val="single" w:sz="4" w:color="B7C6CE"/>
        </w:tblBorders>
        <w:tblCellMar>
          <w:top w:w="80" w:type="dxa"/>
          <w:left w:w="80" w:type="dxa"/>
          <w:bottom w:w="80" w:type="dxa"/>
          <w:right w:w="80" w:type="dxa"/>
        </w:tblCellMar>
      </w:tblPr>
      <w:tblGrid>
        <w:gridCol w:w="2200"/>
        <w:gridCol w:w="3600"/>
        <w:gridCol w:w="3838"/>
      </w:tblGrid>
      <w:tr>
        <w:trPr>
          <w:cantSplit/>
          <w:tblHeader/>
        </w:trPr>
        <w:tc>
          <w:tcPr>
            <w:tcW w:w="2200" w:type="dxa"/>
            <w:shd w:val="clear" w:fill="EAF3F8"/>
            <w:vAlign w:val="top"/>
          </w:tcPr>
          <w:p>
            <w:pPr>
              <w:pStyle w:val="TableText"/>
            </w:pPr>
            <w:r>
              <w:rPr>
                <w:b/>
              </w:rPr>
              <w:t xml:space="preserve">发现</w:t>
            </w:r>
          </w:p>
        </w:tc>
        <w:tc>
          <w:tcPr>
            <w:tcW w:w="3600" w:type="dxa"/>
            <w:shd w:val="clear" w:fill="EAF3F8"/>
            <w:vAlign w:val="top"/>
          </w:tcPr>
          <w:p>
            <w:pPr>
              <w:pStyle w:val="TableText"/>
            </w:pPr>
            <w:r>
              <w:rPr>
                <w:b/>
              </w:rPr>
              <w:t xml:space="preserve">核心证据</w:t>
            </w:r>
          </w:p>
        </w:tc>
        <w:tc>
          <w:tcPr>
            <w:tcW w:w="3838" w:type="dxa"/>
            <w:shd w:val="clear" w:fill="EAF3F8"/>
            <w:vAlign w:val="top"/>
          </w:tcPr>
          <w:p>
            <w:pPr>
              <w:pStyle w:val="TableText"/>
            </w:pPr>
            <w:r>
              <w:rPr>
                <w:b/>
              </w:rPr>
              <w:t xml:space="preserve">科学含义</w:t>
            </w:r>
          </w:p>
        </w:tc>
      </w:tr>
      <w:tr>
        <w:trPr>
          <w:cantSplit/>
        </w:trPr>
        <w:tc>
          <w:tcPr>
            <w:tcW w:w="2200" w:type="dxa"/>
            <w:vAlign w:val="top"/>
          </w:tcPr>
          <w:p>
            <w:pPr>
              <w:pStyle w:val="TableText"/>
            </w:pPr>
            <w:r>
              <w:t xml:space="preserve">互补价值由结构和目标决定</w:t>
            </w:r>
          </w:p>
        </w:tc>
        <w:tc>
          <w:tcPr>
            <w:tcW w:w="3600" w:type="dxa"/>
            <w:vAlign w:val="top"/>
          </w:tcPr>
          <w:p>
            <w:pPr>
              <w:pStyle w:val="TableText"/>
            </w:pPr>
            <w:r>
              <w:t xml:space="preserve">六/八事件稠密DAG同预算信息比中位数21.37/13.96，全双向约1.02/0.93</w:t>
            </w:r>
          </w:p>
        </w:tc>
        <w:tc>
          <w:tcPr>
            <w:tcW w:w="3838" w:type="dxa"/>
            <w:vAlign w:val="top"/>
          </w:tcPr>
          <w:p>
            <w:pPr>
              <w:pStyle w:val="TableText"/>
            </w:pPr>
            <w:r>
              <w:t xml:space="preserve">数据设计应针对目标信息方向，不能仅按队列数、面板大小判断价值</w:t>
            </w:r>
          </w:p>
        </w:tc>
      </w:tr>
      <w:tr>
        <w:trPr>
          <w:cantSplit/>
        </w:trPr>
        <w:tc>
          <w:tcPr>
            <w:tcW w:w="2200" w:type="dxa"/>
            <w:vAlign w:val="top"/>
          </w:tcPr>
          <w:p>
            <w:pPr>
              <w:pStyle w:val="TableText"/>
            </w:pPr>
            <w:r>
              <w:t xml:space="preserve">可靠答案和有用答案可以被分别评价</w:t>
            </w:r>
          </w:p>
        </w:tc>
        <w:tc>
          <w:tcPr>
            <w:tcW w:w="3600" w:type="dxa"/>
            <w:vAlign w:val="top"/>
          </w:tcPr>
          <w:p>
            <w:pPr>
              <w:pStyle w:val="TableText"/>
            </w:pPr>
            <w:r>
              <w:t xml:space="preserve">G2同时保留有限/无界区间、覆盖、方向、拒答与数值无效；新互补确认两法均100/100覆盖且有限</w:t>
            </w:r>
          </w:p>
        </w:tc>
        <w:tc>
          <w:tcPr>
            <w:tcW w:w="3838" w:type="dxa"/>
            <w:vAlign w:val="top"/>
          </w:tcPr>
          <w:p>
            <w:pPr>
              <w:pStyle w:val="TableText"/>
            </w:pPr>
            <w:r>
              <w:t xml:space="preserve">科学回答需要表达资料实际支持到什么程度</w:t>
            </w:r>
          </w:p>
        </w:tc>
      </w:tr>
      <w:tr>
        <w:trPr>
          <w:cantSplit/>
        </w:trPr>
        <w:tc>
          <w:tcPr>
            <w:tcW w:w="2200" w:type="dxa"/>
            <w:vAlign w:val="top"/>
          </w:tcPr>
          <w:p>
            <w:pPr>
              <w:pStyle w:val="TableText"/>
            </w:pPr>
            <w:r>
              <w:t xml:space="preserve">观察解释正确能够恢复推断可靠性</w:t>
            </w:r>
          </w:p>
        </w:tc>
        <w:tc>
          <w:tcPr>
            <w:tcW w:w="3600" w:type="dxa"/>
            <w:vAlign w:val="top"/>
          </w:tcPr>
          <w:p>
            <w:pPr>
              <w:pStyle w:val="TableText"/>
            </w:pPr>
            <w:r>
              <w:t xml:space="preserve">G3时间场景非覆盖65%降到7.5%，额外估计时间参数时4.5%</w:t>
            </w:r>
          </w:p>
        </w:tc>
        <w:tc>
          <w:tcPr>
            <w:tcW w:w="3838" w:type="dxa"/>
            <w:vAlign w:val="top"/>
          </w:tcPr>
          <w:p>
            <w:pPr>
              <w:pStyle w:val="TableText"/>
            </w:pPr>
            <w:r>
              <w:t xml:space="preserve">时间与观察模型进入证据链，不能只检查拟合好坏</w:t>
            </w:r>
          </w:p>
        </w:tc>
      </w:tr>
      <w:tr>
        <w:trPr>
          <w:cantSplit/>
        </w:trPr>
        <w:tc>
          <w:tcPr>
            <w:tcW w:w="2200" w:type="dxa"/>
            <w:vAlign w:val="top"/>
          </w:tcPr>
          <w:p>
            <w:pPr>
              <w:pStyle w:val="TableText"/>
            </w:pPr>
            <w:r>
              <w:t xml:space="preserve">同成本补测具有跨来源实用价值</w:t>
            </w:r>
          </w:p>
        </w:tc>
        <w:tc>
          <w:tcPr>
            <w:tcW w:w="3600" w:type="dxa"/>
            <w:vAlign w:val="top"/>
          </w:tcPr>
          <w:p>
            <w:pPr>
              <w:pStyle w:val="TableText"/>
            </w:pPr>
            <w:r>
              <w:t xml:space="preserve">原TCGA两外部队列与新9采用队列；后者1383确认记录、9个正方向、7个区间高于零</w:t>
            </w:r>
          </w:p>
        </w:tc>
        <w:tc>
          <w:tcPr>
            <w:tcW w:w="3838" w:type="dxa"/>
            <w:vAlign w:val="top"/>
          </w:tcPr>
          <w:p>
            <w:pPr>
              <w:pStyle w:val="TableText"/>
            </w:pPr>
            <w:r>
              <w:t xml:space="preserve">补测价值不限于一个受控模拟或单一队列</w:t>
            </w:r>
          </w:p>
        </w:tc>
      </w:tr>
      <w:tr>
        <w:trPr>
          <w:cantSplit/>
        </w:trPr>
        <w:tc>
          <w:tcPr>
            <w:tcW w:w="2200" w:type="dxa"/>
            <w:vAlign w:val="top"/>
          </w:tcPr>
          <w:p>
            <w:pPr>
              <w:pStyle w:val="TableText"/>
            </w:pPr>
            <w:r>
              <w:t xml:space="preserve">按缺口采集能改善原目标的答案</w:t>
            </w:r>
          </w:p>
        </w:tc>
        <w:tc>
          <w:tcPr>
            <w:tcW w:w="3600" w:type="dxa"/>
            <w:vAlign w:val="top"/>
          </w:tcPr>
          <w:p>
            <w:pPr>
              <w:pStyle w:val="TableText"/>
            </w:pPr>
            <w:r>
              <w:t xml:space="preserve">G5正确方向46.25%，开发期最佳固定24.58%，分母均240</w:t>
            </w:r>
          </w:p>
        </w:tc>
        <w:tc>
          <w:tcPr>
            <w:tcW w:w="3838" w:type="dxa"/>
            <w:vAlign w:val="top"/>
          </w:tcPr>
          <w:p>
            <w:pPr>
              <w:pStyle w:val="TableText"/>
            </w:pPr>
            <w:r>
              <w:t xml:space="preserve">诊断可以被转化为行动，并用独立答案收益检验</w:t>
            </w:r>
          </w:p>
        </w:tc>
      </w:tr>
      <w:tr>
        <w:trPr>
          <w:cantSplit/>
        </w:trPr>
        <w:tc>
          <w:tcPr>
            <w:tcW w:w="2200" w:type="dxa"/>
            <w:vAlign w:val="top"/>
          </w:tcPr>
          <w:p>
            <w:pPr>
              <w:pStyle w:val="TableText"/>
            </w:pPr>
            <w:r>
              <w:t xml:space="preserve">目标导向的经典选择能保存生物关联信息</w:t>
            </w:r>
          </w:p>
        </w:tc>
        <w:tc>
          <w:tcPr>
            <w:tcW w:w="3600" w:type="dxa"/>
            <w:vAlign w:val="top"/>
          </w:tcPr>
          <w:p>
            <w:pPr>
              <w:pStyle w:val="TableText"/>
            </w:pPr>
            <w:r>
              <w:t xml:space="preserve">K50固定分支均衡恢复11/20后续组织支持目标，与完整参照逐患者一致</w:t>
            </w:r>
          </w:p>
        </w:tc>
        <w:tc>
          <w:tcPr>
            <w:tcW w:w="3838" w:type="dxa"/>
            <w:vAlign w:val="top"/>
          </w:tcPr>
          <w:p>
            <w:pPr>
              <w:pStyle w:val="TableText"/>
            </w:pPr>
            <w:r>
              <w:t xml:space="preserve">方法故事获得真实后续谱系信息的连接</w:t>
            </w:r>
          </w:p>
        </w:tc>
      </w:tr>
    </w:tbl>
    <w:p>
      <w:pPr>
        <w:pStyle w:val="Normal"/>
      </w:pPr>
      <w:r>
        <w:t xml:space="preserve"/>
      </w:r>
    </w:p>
    <w:p>
      <w:pPr>
        <w:pStyle w:val="Normal"/>
      </w:pPr>
      <w:r>
        <w:t xml:space="preserve">其中，最适合作为科研主线的三项是：</w:t>
      </w:r>
      <w:r>
        <w:rPr>
          <w:b/>
        </w:rPr>
        <w:t xml:space="preserve">结构决定互补价值、按缺口采集改善答案、目标导向选择保存真实后续谱系信息。</w:t>
      </w:r>
      <w:r>
        <w:t xml:space="preserve"> G2和G3使这条主线具有可靠性与假设审查的支撑，G4使它具有跨来源的实用证据。</w:t>
      </w:r>
    </w:p>
    <w:p>
      <w:pPr>
        <w:pStyle w:val="Heading1"/>
      </w:pPr>
      <w:r>
        <w:t xml:space="preserve">8. 创新点：新在哪里，经典方法为什么仍然重要</w:t>
      </w:r>
    </w:p>
    <w:p>
      <w:pPr>
        <w:pStyle w:val="Heading2"/>
      </w:pPr>
      <w:r>
        <w:t xml:space="preserve">8.1 科学问题层：把异质资料的价值定义为目标可回答性</w:t>
      </w:r>
    </w:p>
    <w:p>
      <w:pPr>
        <w:pStyle w:val="Normal"/>
      </w:pPr>
      <w:r>
        <w:t xml:space="preserve">项目围绕一个明确的演化问题，联合处理来源分布、入组选择、缺失测量与生物差异。它使“数据能不能回答问题”成为直接评价对象，并将完整网络恢复、局部目标可识别与有限样本精度分开。</w:t>
      </w:r>
    </w:p>
    <w:p>
      <w:pPr>
        <w:pStyle w:val="Normal"/>
      </w:pPr>
      <w:r>
        <w:t xml:space="preserve">这一定位改变了研究的决策顺序：一个模型预测准确，仍需证明所关心的演化目标确实被资料约束；一个完整网络仍有歧义，也可能已经足够回答某个重要目标。</w:t>
      </w:r>
    </w:p>
    <w:p>
      <w:pPr>
        <w:pStyle w:val="Heading2"/>
      </w:pPr>
      <w:r>
        <w:t xml:space="preserve">8.2 方法层：把目标诊断、置信表达与采集接起来</w:t>
      </w:r>
    </w:p>
    <w:p>
      <w:pPr>
        <w:pStyle w:val="Normal"/>
      </w:pPr>
      <w:r>
        <w:t xml:space="preserve">项目将有效信息、兼容参数集合、区间/拒答和成本约束行动组织为可执行流程。信息诊断说明缺口，推断表达现有答案程度，采集针对缺口，独立确认评价同一目标的实际改善。</w:t>
      </w:r>
    </w:p>
    <w:p>
      <w:pPr>
        <w:pStyle w:val="Normal"/>
      </w:pPr>
      <w:r>
        <w:t xml:space="preserve">CTMC、有效信息、Clopper–Pearson、条件精确检验、似然剖面和c-opt均是其中可用的工具。这里的创新主张落在新问题的条件结构、目标诊断与工作流连接，不能把经典组件本身写成项目发明。</w:t>
      </w:r>
    </w:p>
    <w:p>
      <w:pPr>
        <w:pStyle w:val="Heading2"/>
      </w:pPr>
      <w:r>
        <w:t xml:space="preserve">8.3 证据层：用不同层级回答不同的证明任务</w:t>
      </w:r>
    </w:p>
    <w:p>
      <w:pPr>
        <w:pStyle w:val="Normal"/>
      </w:pPr>
      <w:r>
        <w:t xml:space="preserve">受控模型提供交互真值，真实记录提供实测隐藏参照，后续组织和血浆提供生物关联评分。这样既能检验数学目标，也能检验补测的实际用途，还能观察保存的信息是否联系到后续支系。</w:t>
      </w:r>
    </w:p>
    <w:p>
      <w:pPr>
        <w:pStyle w:val="Normal"/>
      </w:pPr>
      <w:r>
        <w:t xml:space="preserve">强基线与项目方法接近时，结论可以是经典方法足以完成某个环节。比较的价值在于查清哪个信息和哪种推断发挥作用，最终贡献不需要建立在所有条件下击败所有经典算法之上。</w:t>
      </w:r>
    </w:p>
    <w:p>
      <w:pPr>
        <w:pStyle w:val="Heading2"/>
      </w:pPr>
      <w:r>
        <w:t xml:space="preserve">8.4 应用层：把“无法回答”转成可研究的下一步</w:t>
      </w:r>
    </w:p>
    <w:p>
      <w:pPr>
        <w:pStyle w:val="Normal"/>
      </w:pPr>
      <w:r>
        <w:t xml:space="preserve">未知状态不再只是最终失败标签，而可以对应具体采集需求：补联合测量、增加来源参考、改变筛选视角或改善稀有层覆盖。G5的独立确认给出了这一转化的直接证据；真实生物桥接进一步说明明确目标能够引导有意义的信息保存。</w:t>
      </w:r>
    </w:p>
    <w:p>
      <w:pPr>
        <w:pStyle w:val="Normal"/>
      </w:pPr>
      <w:r>
        <w:t xml:space="preserve">这些是本项目当前的创新定位。全球优先性与相对完整文献的差异，需要另外以系统文献对照建立，本文不使用未经核验的“首次”主张。</w:t>
      </w:r>
    </w:p>
    <w:p>
      <w:pPr>
        <w:pStyle w:val="Heading1"/>
      </w:pPr>
      <w:r>
        <w:t xml:space="preserve">9. 研究意义与重要性</w:t>
      </w:r>
    </w:p>
    <w:p>
      <w:pPr>
        <w:pStyle w:val="Normal"/>
      </w:pPr>
      <w:r>
        <w:t xml:space="preserve"/>
      </w:r>
      <w:r>
        <w:rPr>
          <w:b/>
        </w:rPr>
        <w:t xml:space="preserve">对癌症进化研究，</w:t>
      </w:r>
      <w:r>
        <w:t xml:space="preserve"> 项目提供一种判断工具：在把共现或队列差异解释为演化关系之前，先审查这些资料是否允许区分目标与观察机制。它有助于让演化解释与实际证据强度相匹配。</w:t>
      </w:r>
    </w:p>
    <w:p>
      <w:pPr>
        <w:pStyle w:val="Normal"/>
      </w:pPr>
      <w:r>
        <w:t xml:space="preserve"/>
      </w:r>
      <w:r>
        <w:rPr>
          <w:b/>
        </w:rPr>
        <w:t xml:space="preserve">对异质队列整合，</w:t>
      </w:r>
      <w:r>
        <w:t xml:space="preserve"> 项目强调不同资料的互补结构。面板不同、筛选不同并不必然只意味着需要纠正的噪声；在声明条件下，它们也可能提供不同的信息方向。哪些差异有益，需要按目标诊断和外部评价来判断。</w:t>
      </w:r>
    </w:p>
    <w:p>
      <w:pPr>
        <w:pStyle w:val="Normal"/>
      </w:pPr>
      <w:r>
        <w:t xml:space="preserve"/>
      </w:r>
      <w:r>
        <w:rPr>
          <w:b/>
        </w:rPr>
        <w:t xml:space="preserve">对数据采集与成本分配，</w:t>
      </w:r>
      <w:r>
        <w:t xml:space="preserve"> 项目把选择从“继续多收一点”推进到“缺什么就补什么”。追加预算的意义由目标答案改善来评价，行动可以由经典实验设计实现。</w:t>
      </w:r>
    </w:p>
    <w:p>
      <w:pPr>
        <w:pStyle w:val="Normal"/>
      </w:pPr>
      <w:r>
        <w:t xml:space="preserve"/>
      </w:r>
      <w:r>
        <w:rPr>
          <w:b/>
        </w:rPr>
        <w:t xml:space="preserve">对生物追踪，</w:t>
      </w:r>
      <w:r>
        <w:t xml:space="preserve"> 后续组织和血浆结果显示，目标明确的标记选择能保存部分具有真实后续支持的非主干支系信息。它为进一步研究“有限测量下如何维持谱系覆盖”提供依据；临床检测、治疗与患者获益仍需新的前瞻性证据。</w:t>
      </w:r>
    </w:p>
    <w:p>
      <w:pPr>
        <w:pStyle w:val="Normal"/>
      </w:pPr>
      <w:r>
        <w:t xml:space="preserve">项目最重要的意义，是将难以解释的观察差异变成可诊断的问题，将不确定性变成明确的证据状态，再把信息缺口变成可检验的采集行动。</w:t>
      </w:r>
    </w:p>
    <w:p>
      <w:pPr>
        <w:pStyle w:val="Heading1"/>
      </w:pPr>
      <w:r>
        <w:t xml:space="preserve">10. 科研重点与证明范围</w:t>
      </w:r>
    </w:p>
    <w:p>
      <w:pPr>
        <w:pStyle w:val="Normal"/>
      </w:pPr>
      <w:r>
        <w:t xml:space="preserve">研究呈现应按“问题—条件—信息—答案—行动—真实连接”的顺序展开。最值得重点讲清的是目标信息的几何结构、可靠性与作答的共同评价，以及采集后的同目标独立验证。复杂模型、强基线和真实数据分别增强这条主线的结构说服力、方法可信度与应用关联。</w:t>
      </w:r>
    </w:p>
    <w:p>
      <w:pPr>
        <w:pStyle w:val="Normal"/>
      </w:pPr>
      <w:r>
        <w:t xml:space="preserve">当前形成的是声明模型、观察家族和成本下的条件性闭环：G1/G2/G5之间有明确的目标连接，G3审查假设，G4与生物桥接增加真实资料证据。8事件的局部几何结果不能与闭合子系统的有限样本验证合并成“8事件可靠推断全部完成”。</w:t>
      </w:r>
    </w:p>
    <w:p>
      <w:pPr>
        <w:pStyle w:val="Normal"/>
      </w:pPr>
      <w:r>
        <w:t xml:space="preserve">真实资料支持总补测价值与部分生物信息保存；自然演化参数真值、跨所有队列的正向配对机制、真实诊断独有优势和临床干预收益仍未得到现有结果证明。这些边界对应不同科学任务，不要求一个模型面面俱到，但应避免把一个终点的成功替代另一个终点。</w:t>
      </w:r>
    </w:p>
    <w:p>
      <w:pPr>
        <w:pStyle w:val="Heading1"/>
      </w:pPr>
      <w:r>
        <w:t xml:space="preserve">11. 可直接用于介绍项目的表述</w:t>
      </w:r>
    </w:p>
    <w:p>
      <w:pPr>
        <w:pStyle w:val="Heading2"/>
      </w:pPr>
      <w:r>
        <w:t xml:space="preserve">简短介绍</w:t>
      </w:r>
    </w:p>
    <w:p>
      <w:pPr>
        <w:pStyle w:val="Normal"/>
      </w:pPr>
      <w:r>
        <w:t xml:space="preserve">Invariant-EvAM研究异质癌症资料究竟能回答哪些演化交互问题。项目先用目标信息诊断区分结构缺失与信息不足，再用区间、方向和拒答表达答案可靠性，最后以成本约束的目标导向采集补充缺失信息。复杂模型、独立模拟确认和真实患者记录共同支持这一流程；后续组织与血浆回放进一步显示，目标明确的经典选择能够保存具有生物关联的谱系信息。</w:t>
      </w:r>
    </w:p>
    <w:p>
      <w:pPr>
        <w:pStyle w:val="Heading2"/>
      </w:pPr>
      <w:r>
        <w:t xml:space="preserve">完整项目叙事</w:t>
      </w:r>
    </w:p>
    <w:p>
      <w:pPr>
        <w:pStyle w:val="Normal"/>
      </w:pPr>
      <w:r>
        <w:t xml:space="preserve">癌症队列的入组和测量方式不同，使观察到的基因共现难以直接解释为演化关系。Invariant-EvAM围绕一个固定的参考演化目标，显式描述来源过程、筛选机制和测量映射，判断目标是否可识别、信息缺口位于哪些方向，并用可靠区间和拒答保留证据的不确定性。在此基础上，项目将经典目标导向设计接入采集决策，以独立确认数据检验新增记录是否改善原目标的答案。结果显示，互补信息收益取决于模型结构，针对缺口的采集提高正确方向作答，真实同成本补测具有跨来源预测收益，固定分支多样性选择还保留了部分后续组织支持的支系信息。项目由此建立了条件性的“信息诊断—可靠回答—针对性采集”科研闭环，并把这一闭环连接到真实生物信息的保存。</w:t>
      </w:r>
    </w:p>
    <w:p>
      <w:pPr>
        <w:pStyle w:val="Heading1"/>
      </w:pPr>
      <w:r>
        <w:t xml:space="preserve">12. 图、数据、代码与复现入口</w:t>
      </w:r>
    </w:p>
    <w:tbl>
      <w:tblPr>
        <w:tblW w:w="9638" w:type="dxa"/>
        <w:tblLayout w:type="fixed"/>
        <w:tblBorders>
          <w:top w:val="single" w:sz="4" w:color="B7C6CE"/>
          <w:left w:val="single" w:sz="4" w:color="B7C6CE"/>
          <w:bottom w:val="single" w:sz="4" w:color="B7C6CE"/>
          <w:right w:val="single" w:sz="4" w:color="B7C6CE"/>
          <w:insideH w:val="single" w:sz="4" w:color="B7C6CE"/>
          <w:insideV w:val="single" w:sz="4" w:color="B7C6CE"/>
        </w:tblBorders>
        <w:tblCellMar>
          <w:top w:w="80" w:type="dxa"/>
          <w:left w:w="80" w:type="dxa"/>
          <w:bottom w:w="80" w:type="dxa"/>
          <w:right w:w="80" w:type="dxa"/>
        </w:tblCellMar>
      </w:tblPr>
      <w:tblGrid>
        <w:gridCol w:w="800"/>
        <w:gridCol w:w="2946"/>
        <w:gridCol w:w="2946"/>
        <w:gridCol w:w="2946"/>
      </w:tblGrid>
      <w:tr>
        <w:trPr>
          <w:cantSplit/>
          <w:tblHeader/>
        </w:trPr>
        <w:tc>
          <w:tcPr>
            <w:tcW w:w="800" w:type="dxa"/>
            <w:shd w:val="clear" w:fill="EAF3F8"/>
            <w:vAlign w:val="top"/>
          </w:tcPr>
          <w:p>
            <w:pPr>
              <w:pStyle w:val="TableText"/>
            </w:pPr>
            <w:r>
              <w:rPr>
                <w:b/>
              </w:rPr>
              <w:t xml:space="preserve">章节</w:t>
            </w:r>
          </w:p>
        </w:tc>
        <w:tc>
          <w:tcPr>
            <w:tcW w:w="2946" w:type="dxa"/>
            <w:shd w:val="clear" w:fill="EAF3F8"/>
            <w:vAlign w:val="top"/>
          </w:tcPr>
          <w:p>
            <w:pPr>
              <w:pStyle w:val="TableText"/>
            </w:pPr>
            <w:r>
              <w:rPr>
                <w:b/>
              </w:rPr>
              <w:t xml:space="preserve">正式报告</w:t>
            </w:r>
          </w:p>
        </w:tc>
        <w:tc>
          <w:tcPr>
            <w:tcW w:w="2946" w:type="dxa"/>
            <w:shd w:val="clear" w:fill="EAF3F8"/>
            <w:vAlign w:val="top"/>
          </w:tcPr>
          <w:p>
            <w:pPr>
              <w:pStyle w:val="TableText"/>
            </w:pPr>
            <w:r>
              <w:rPr>
                <w:b/>
              </w:rPr>
              <w:t xml:space="preserve">正式图</w:t>
            </w:r>
          </w:p>
        </w:tc>
        <w:tc>
          <w:tcPr>
            <w:tcW w:w="2946" w:type="dxa"/>
            <w:shd w:val="clear" w:fill="EAF3F8"/>
            <w:vAlign w:val="top"/>
          </w:tcPr>
          <w:p>
            <w:pPr>
              <w:pStyle w:val="TableText"/>
            </w:pPr>
            <w:r>
              <w:rPr>
                <w:b/>
              </w:rPr>
              <w:t xml:space="preserve">对应作图数据</w:t>
            </w:r>
          </w:p>
        </w:tc>
      </w:tr>
      <w:tr>
        <w:trPr>
          <w:cantSplit/>
        </w:trPr>
        <w:tc>
          <w:tcPr>
            <w:tcW w:w="800" w:type="dxa"/>
            <w:vAlign w:val="top"/>
          </w:tcPr>
          <w:p>
            <w:pPr>
              <w:pStyle w:val="TableText"/>
            </w:pPr>
            <w:r>
              <w:t xml:space="preserve">G1</w:t>
            </w:r>
          </w:p>
        </w:tc>
        <w:tc>
          <w:tcPr>
            <w:tcW w:w="2946" w:type="dxa"/>
            <w:vAlign w:val="top"/>
          </w:tcPr>
          <w:p>
            <w:pPr>
              <w:pStyle w:val="TableText"/>
            </w:pPr>
            <w:r>
              <w:t xml:space="preserve"/>
            </w:r>
            <w:hyperlink r:id="link15">
              <w:r>
                <w:rPr>
                  <w:color w:val="0072B2"/>
                </w:rPr>
                <w:t xml:space="preserve">报告</w:t>
              </w:r>
            </w:hyperlink>
            <w:r>
              <w:t xml:space="preserve"/>
            </w:r>
          </w:p>
        </w:tc>
        <w:tc>
          <w:tcPr>
            <w:tcW w:w="2946" w:type="dxa"/>
            <w:vAlign w:val="top"/>
          </w:tcPr>
          <w:p>
            <w:pPr>
              <w:pStyle w:val="TableText"/>
            </w:pPr>
            <w:r>
              <w:t xml:space="preserve"/>
            </w:r>
            <w:hyperlink r:id="link33">
              <w:r>
                <w:rPr>
                  <w:color w:val="0072B2"/>
                </w:rPr>
                <w:t xml:space="preserve">8张单图</w:t>
              </w:r>
            </w:hyperlink>
            <w:r>
              <w:t xml:space="preserve"/>
            </w:r>
          </w:p>
        </w:tc>
        <w:tc>
          <w:tcPr>
            <w:tcW w:w="2946" w:type="dxa"/>
            <w:vAlign w:val="top"/>
          </w:tcPr>
          <w:p>
            <w:pPr>
              <w:pStyle w:val="TableText"/>
            </w:pPr>
            <w:r>
              <w:t xml:space="preserve"/>
            </w:r>
            <w:hyperlink r:id="link34">
              <w:r>
                <w:rPr>
                  <w:color w:val="0072B2"/>
                </w:rPr>
                <w:t xml:space="preserve">数据</w:t>
              </w:r>
            </w:hyperlink>
            <w:r>
              <w:t xml:space="preserve"/>
            </w:r>
          </w:p>
        </w:tc>
      </w:tr>
      <w:tr>
        <w:trPr>
          <w:cantSplit/>
        </w:trPr>
        <w:tc>
          <w:tcPr>
            <w:tcW w:w="800" w:type="dxa"/>
            <w:vAlign w:val="top"/>
          </w:tcPr>
          <w:p>
            <w:pPr>
              <w:pStyle w:val="TableText"/>
            </w:pPr>
            <w:r>
              <w:t xml:space="preserve">G2</w:t>
            </w:r>
          </w:p>
        </w:tc>
        <w:tc>
          <w:tcPr>
            <w:tcW w:w="2946" w:type="dxa"/>
            <w:vAlign w:val="top"/>
          </w:tcPr>
          <w:p>
            <w:pPr>
              <w:pStyle w:val="TableText"/>
            </w:pPr>
            <w:r>
              <w:t xml:space="preserve"/>
            </w:r>
            <w:hyperlink r:id="link17">
              <w:r>
                <w:rPr>
                  <w:color w:val="0072B2"/>
                </w:rPr>
                <w:t xml:space="preserve">报告</w:t>
              </w:r>
            </w:hyperlink>
            <w:r>
              <w:t xml:space="preserve"/>
            </w:r>
          </w:p>
        </w:tc>
        <w:tc>
          <w:tcPr>
            <w:tcW w:w="2946" w:type="dxa"/>
            <w:vAlign w:val="top"/>
          </w:tcPr>
          <w:p>
            <w:pPr>
              <w:pStyle w:val="TableText"/>
            </w:pPr>
            <w:r>
              <w:t xml:space="preserve"/>
            </w:r>
            <w:hyperlink r:id="link35">
              <w:r>
                <w:rPr>
                  <w:color w:val="0072B2"/>
                </w:rPr>
                <w:t xml:space="preserve">9张单图</w:t>
              </w:r>
            </w:hyperlink>
            <w:r>
              <w:t xml:space="preserve"/>
            </w:r>
          </w:p>
        </w:tc>
        <w:tc>
          <w:tcPr>
            <w:tcW w:w="2946" w:type="dxa"/>
            <w:vAlign w:val="top"/>
          </w:tcPr>
          <w:p>
            <w:pPr>
              <w:pStyle w:val="TableText"/>
            </w:pPr>
            <w:r>
              <w:t xml:space="preserve"/>
            </w:r>
            <w:hyperlink r:id="link36">
              <w:r>
                <w:rPr>
                  <w:color w:val="0072B2"/>
                </w:rPr>
                <w:t xml:space="preserve">数据</w:t>
              </w:r>
            </w:hyperlink>
            <w:r>
              <w:t xml:space="preserve"/>
            </w:r>
          </w:p>
        </w:tc>
      </w:tr>
      <w:tr>
        <w:trPr>
          <w:cantSplit/>
        </w:trPr>
        <w:tc>
          <w:tcPr>
            <w:tcW w:w="800" w:type="dxa"/>
            <w:vAlign w:val="top"/>
          </w:tcPr>
          <w:p>
            <w:pPr>
              <w:pStyle w:val="TableText"/>
            </w:pPr>
            <w:r>
              <w:t xml:space="preserve">G3</w:t>
            </w:r>
          </w:p>
        </w:tc>
        <w:tc>
          <w:tcPr>
            <w:tcW w:w="2946" w:type="dxa"/>
            <w:vAlign w:val="top"/>
          </w:tcPr>
          <w:p>
            <w:pPr>
              <w:pStyle w:val="TableText"/>
            </w:pPr>
            <w:r>
              <w:t xml:space="preserve"/>
            </w:r>
            <w:hyperlink r:id="link20">
              <w:r>
                <w:rPr>
                  <w:color w:val="0072B2"/>
                </w:rPr>
                <w:t xml:space="preserve">报告</w:t>
              </w:r>
            </w:hyperlink>
            <w:r>
              <w:t xml:space="preserve"/>
            </w:r>
          </w:p>
        </w:tc>
        <w:tc>
          <w:tcPr>
            <w:tcW w:w="2946" w:type="dxa"/>
            <w:vAlign w:val="top"/>
          </w:tcPr>
          <w:p>
            <w:pPr>
              <w:pStyle w:val="TableText"/>
            </w:pPr>
            <w:r>
              <w:t xml:space="preserve"/>
            </w:r>
            <w:hyperlink r:id="link37">
              <w:r>
                <w:rPr>
                  <w:color w:val="0072B2"/>
                </w:rPr>
                <w:t xml:space="preserve">10张单图</w:t>
              </w:r>
            </w:hyperlink>
            <w:r>
              <w:t xml:space="preserve"/>
            </w:r>
          </w:p>
        </w:tc>
        <w:tc>
          <w:tcPr>
            <w:tcW w:w="2946" w:type="dxa"/>
            <w:vAlign w:val="top"/>
          </w:tcPr>
          <w:p>
            <w:pPr>
              <w:pStyle w:val="TableText"/>
            </w:pPr>
            <w:r>
              <w:t xml:space="preserve"/>
            </w:r>
            <w:hyperlink r:id="link38">
              <w:r>
                <w:rPr>
                  <w:color w:val="0072B2"/>
                </w:rPr>
                <w:t xml:space="preserve">数据</w:t>
              </w:r>
            </w:hyperlink>
            <w:r>
              <w:t xml:space="preserve"/>
            </w:r>
          </w:p>
        </w:tc>
      </w:tr>
      <w:tr>
        <w:trPr>
          <w:cantSplit/>
        </w:trPr>
        <w:tc>
          <w:tcPr>
            <w:tcW w:w="800" w:type="dxa"/>
            <w:vAlign w:val="top"/>
          </w:tcPr>
          <w:p>
            <w:pPr>
              <w:pStyle w:val="TableText"/>
            </w:pPr>
            <w:r>
              <w:t xml:space="preserve">G4</w:t>
            </w:r>
          </w:p>
        </w:tc>
        <w:tc>
          <w:tcPr>
            <w:tcW w:w="2946" w:type="dxa"/>
            <w:vAlign w:val="top"/>
          </w:tcPr>
          <w:p>
            <w:pPr>
              <w:pStyle w:val="TableText"/>
            </w:pPr>
            <w:r>
              <w:t xml:space="preserve"/>
            </w:r>
            <w:hyperlink r:id="link23">
              <w:r>
                <w:rPr>
                  <w:color w:val="0072B2"/>
                </w:rPr>
                <w:t xml:space="preserve">报告</w:t>
              </w:r>
            </w:hyperlink>
            <w:r>
              <w:t xml:space="preserve"/>
            </w:r>
          </w:p>
        </w:tc>
        <w:tc>
          <w:tcPr>
            <w:tcW w:w="2946" w:type="dxa"/>
            <w:vAlign w:val="top"/>
          </w:tcPr>
          <w:p>
            <w:pPr>
              <w:pStyle w:val="TableText"/>
            </w:pPr>
            <w:r>
              <w:t xml:space="preserve"/>
            </w:r>
            <w:hyperlink r:id="link39">
              <w:r>
                <w:rPr>
                  <w:color w:val="0072B2"/>
                </w:rPr>
                <w:t xml:space="preserve">18张单图</w:t>
              </w:r>
            </w:hyperlink>
            <w:r>
              <w:t xml:space="preserve"/>
            </w:r>
          </w:p>
        </w:tc>
        <w:tc>
          <w:tcPr>
            <w:tcW w:w="2946" w:type="dxa"/>
            <w:vAlign w:val="top"/>
          </w:tcPr>
          <w:p>
            <w:pPr>
              <w:pStyle w:val="TableText"/>
            </w:pPr>
            <w:r>
              <w:t xml:space="preserve"/>
            </w:r>
            <w:hyperlink r:id="link40">
              <w:r>
                <w:rPr>
                  <w:color w:val="0072B2"/>
                </w:rPr>
                <w:t xml:space="preserve">数据</w:t>
              </w:r>
            </w:hyperlink>
            <w:r>
              <w:t xml:space="preserve"/>
            </w:r>
          </w:p>
        </w:tc>
      </w:tr>
      <w:tr>
        <w:trPr>
          <w:cantSplit/>
        </w:trPr>
        <w:tc>
          <w:tcPr>
            <w:tcW w:w="800" w:type="dxa"/>
            <w:vAlign w:val="top"/>
          </w:tcPr>
          <w:p>
            <w:pPr>
              <w:pStyle w:val="TableText"/>
            </w:pPr>
            <w:r>
              <w:t xml:space="preserve">G5</w:t>
            </w:r>
          </w:p>
        </w:tc>
        <w:tc>
          <w:tcPr>
            <w:tcW w:w="2946" w:type="dxa"/>
            <w:vAlign w:val="top"/>
          </w:tcPr>
          <w:p>
            <w:pPr>
              <w:pStyle w:val="TableText"/>
            </w:pPr>
            <w:r>
              <w:t xml:space="preserve"/>
            </w:r>
            <w:hyperlink r:id="link26">
              <w:r>
                <w:rPr>
                  <w:color w:val="0072B2"/>
                </w:rPr>
                <w:t xml:space="preserve">报告</w:t>
              </w:r>
            </w:hyperlink>
            <w:r>
              <w:t xml:space="preserve"/>
            </w:r>
          </w:p>
        </w:tc>
        <w:tc>
          <w:tcPr>
            <w:tcW w:w="2946" w:type="dxa"/>
            <w:vAlign w:val="top"/>
          </w:tcPr>
          <w:p>
            <w:pPr>
              <w:pStyle w:val="TableText"/>
            </w:pPr>
            <w:r>
              <w:t xml:space="preserve"/>
            </w:r>
            <w:hyperlink r:id="link41">
              <w:r>
                <w:rPr>
                  <w:color w:val="0072B2"/>
                </w:rPr>
                <w:t xml:space="preserve">14张单图</w:t>
              </w:r>
            </w:hyperlink>
            <w:r>
              <w:t xml:space="preserve"/>
            </w:r>
          </w:p>
        </w:tc>
        <w:tc>
          <w:tcPr>
            <w:tcW w:w="2946" w:type="dxa"/>
            <w:vAlign w:val="top"/>
          </w:tcPr>
          <w:p>
            <w:pPr>
              <w:pStyle w:val="TableText"/>
            </w:pPr>
            <w:r>
              <w:t xml:space="preserve"/>
            </w:r>
            <w:hyperlink r:id="link42">
              <w:r>
                <w:rPr>
                  <w:color w:val="0072B2"/>
                </w:rPr>
                <w:t xml:space="preserve">数据</w:t>
              </w:r>
            </w:hyperlink>
            <w:r>
              <w:t xml:space="preserve"/>
            </w:r>
          </w:p>
        </w:tc>
      </w:tr>
    </w:tbl>
    <w:p>
      <w:pPr>
        <w:pStyle w:val="Normal"/>
      </w:pPr>
      <w:r>
        <w:t xml:space="preserve"/>
      </w:r>
    </w:p>
    <w:p>
      <w:pPr>
        <w:pStyle w:val="Normal"/>
      </w:pPr>
      <w:r>
        <w:t xml:space="preserve">全部59张图的实验计算、汇总与作图入口已做静态溯源，见</w:t>
      </w:r>
      <w:hyperlink r:id="link43">
        <w:r>
          <w:rPr>
            <w:color w:val="0072B2"/>
          </w:rPr>
          <w:t xml:space="preserve">逐图代码表</w:t>
        </w:r>
      </w:hyperlink>
      <w:r>
        <w:t xml:space="preserve">和</w:t>
      </w:r>
      <w:hyperlink r:id="link44">
        <w:r>
          <w:rPr>
            <w:color w:val="0072B2"/>
          </w:rPr>
          <w:t xml:space="preserve">核心代码索引</w:t>
        </w:r>
      </w:hyperlink>
      <w:r>
        <w:t xml:space="preserve">。G2九张图另有</w:t>
      </w:r>
      <w:hyperlink r:id="link45">
        <w:r>
          <w:rPr>
            <w:color w:val="0072B2"/>
          </w:rPr>
          <w:t xml:space="preserve">中文逐图对应说明</w:t>
        </w:r>
      </w:hyperlink>
      <w:r>
        <w:t xml:space="preserve">。</w:t>
      </w:r>
    </w:p>
    <w:p>
      <w:pPr>
        <w:pStyle w:val="Normal"/>
      </w:pPr>
      <w:r>
        <w:t xml:space="preserve">原始有效命令见</w:t>
      </w:r>
      <w:hyperlink r:id="link46">
        <w:r>
          <w:rPr>
            <w:color w:val="0072B2"/>
          </w:rPr>
          <w:t xml:space="preserve">R8执行记录</w:t>
        </w:r>
      </w:hyperlink>
      <w:r>
        <w:t xml:space="preserve">和</w:t>
      </w:r>
      <w:hyperlink r:id="link47">
        <w:r>
          <w:rPr>
            <w:color w:val="0072B2"/>
          </w:rPr>
          <w:t xml:space="preserve">生物桥接执行记录</w:t>
        </w:r>
      </w:hyperlink>
      <w:r>
        <w:t xml:space="preserve">。安装、外置数据、G2原C源码缺口及原脚本运行范围见</w:t>
      </w:r>
      <w:hyperlink r:id="link48">
        <w:r>
          <w:rPr>
            <w:color w:val="0072B2"/>
          </w:rPr>
          <w:t xml:space="preserve">复现说明</w:t>
        </w:r>
      </w:hyperlink>
      <w:r>
        <w:t xml:space="preserve">；文件来源和哈希见</w:t>
      </w:r>
      <w:hyperlink r:id="link49">
        <w:r>
          <w:rPr>
            <w:color w:val="0072B2"/>
          </w:rPr>
          <w:t xml:space="preserve">SOURCE_MAP.tsv</w:t>
        </w:r>
      </w:hyperlink>
      <w:r>
        <w:t xml:space="preserve">。</w:t>
      </w:r>
    </w:p>
    <w:p>
      <w:pPr>
        <w:pStyle w:val="Normal"/>
      </w:pPr>
      <w:r>
        <w:t xml:space="preserve">阅读本说明时，不将同一资料产生的多个单图算成独立重复，也不将TRACERx重叠患者的不同终点当成新的独立队列。所有定量发现均对应上述当前正式文件。</w:t>
      </w:r>
    </w:p>
    <w:sectPr>
      <w:footerReference w:type="default" r:id="footer"/>
      <w:pgSz w:w="11906" w:h="16838"/>
      <w:pgMar w:top="1134" w:right="1134" w:bottom="1134" w:left="1134" w:header="567" w:footer="567" w:gutter="0"/>
    </w:sectPr>
  </w:body>
</w:document>
</file>

<file path=word/footer1.xml><?xml version="1.0" encoding="utf-8"?>
<w:ftr xmlns:w="http://schemas.openxmlformats.org/wordprocessingml/2006/main">
  <w:p>
    <w:pPr>
      <w:jc w:val="center"/>
    </w:pPr>
    <w:fldSimple w:instr=" PAGE ">
      <w:r>
        <w:t xml:space="preserve">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eastAsia="宋体"/>
        <w:sz w:val="22"/>
        <w:lang w:val="zh-CN" w:eastAsia="zh-CN"/>
      </w:rPr>
    </w:rPrDefault>
  </w:docDefaults>
  <w:style w:type="paragraph" w:styleId="Normal" w:default="1">
    <w:name w:val="Normal"/>
    <w:pPr>
      <w:spacing w:before="0" w:after="120" w:line="330" w:lineRule="auto"/>
    </w:pPr>
    <w:rPr>
      <w:sz w:val="22"/>
      <w:color w:val="202020"/>
    </w:rPr>
  </w:style>
  <w:style w:type="paragraph" w:styleId="Title">
    <w:name w:val="Title"/>
    <w:basedOn w:val="Normal"/>
    <w:pPr>
      <w:keepNext/>
      <w:spacing w:before="180" w:after="120" w:line="330" w:lineRule="auto"/>
    </w:pPr>
    <w:rPr>
      <w:b/>
      <w:sz w:val="40"/>
      <w:color w:val="0072B2"/>
    </w:rPr>
  </w:style>
  <w:style w:type="paragraph" w:styleId="Subtitle">
    <w:name w:val="Subtitle"/>
    <w:basedOn w:val="Normal"/>
    <w:pPr>
      <w:keepNext/>
      <w:spacing w:before="180" w:after="120" w:line="330" w:lineRule="auto"/>
    </w:pPr>
    <w:rPr>
      <w:sz w:val="26"/>
      <w:color w:val="606060"/>
    </w:rPr>
  </w:style>
  <w:style w:type="paragraph" w:styleId="Heading1">
    <w:name w:val="Heading1"/>
    <w:basedOn w:val="Normal"/>
    <w:pPr>
      <w:keepNext/>
      <w:spacing w:before="180" w:after="120" w:line="330" w:lineRule="auto"/>
      <w:outlineLvl w:val="0"/>
    </w:pPr>
    <w:rPr>
      <w:b/>
      <w:sz w:val="28"/>
      <w:color w:val="0072B2"/>
    </w:rPr>
  </w:style>
  <w:style w:type="paragraph" w:styleId="Heading2">
    <w:name w:val="Heading2"/>
    <w:basedOn w:val="Normal"/>
    <w:pPr>
      <w:keepNext/>
      <w:spacing w:before="180" w:after="120" w:line="330" w:lineRule="auto"/>
      <w:outlineLvl w:val="1"/>
    </w:pPr>
    <w:rPr>
      <w:b/>
      <w:sz w:val="24"/>
      <w:color w:val="202020"/>
    </w:rPr>
  </w:style>
  <w:style w:type="paragraph" w:styleId="TableText">
    <w:name w:val="TableText"/>
    <w:basedOn w:val="Normal"/>
    <w:pPr>
      <w:spacing w:before="0" w:after="80" w:line="270" w:lineRule="auto"/>
    </w:pPr>
    <w:rPr>
      <w:sz w:val="19"/>
      <w:color w:val="202020"/>
    </w:rPr>
  </w:style>
  <w:style w:type="paragraph" w:styleId="Equation">
    <w:name w:val="Equation"/>
    <w:basedOn w:val="Normal"/>
    <w:pPr>
      <w:spacing w:before="0" w:after="120" w:line="330" w:lineRule="auto"/>
      <w:jc w:val="center"/>
    </w:pPr>
    <w:rPr>
      <w:sz w:val="22"/>
      <w:color w:val="202020"/>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footer" Type="http://schemas.openxmlformats.org/officeDocument/2006/relationships/footer" Target="footer1.xml" /><ns0:Relationship Id="link1" Type="http://schemas.openxmlformats.org/officeDocument/2006/relationships/hyperlink" Target="../paper_experiments_v1/FIVE_GROUP_INTEGRATION_REPORT_CN.md" TargetMode="External" /><ns0:Relationship Id="link2" Type="http://schemas.openxmlformats.org/officeDocument/2006/relationships/hyperlink" Target="../paper_experiments_v1/shared/MODEL_CONTRACT.json" TargetMode="External" /><ns0:Relationship Id="link3" Type="http://schemas.openxmlformats.org/officeDocument/2006/relationships/hyperlink" Target="../paper_experiments_v1/g4/final_results/BIOLOGICAL_VALIDATION_CN.md" TargetMode="External" /><ns0:Relationship Id="link4" Type="http://schemas.openxmlformats.org/officeDocument/2006/relationships/hyperlink" Target="../paper_experiments_v1/g5/final_results/BIOLOGICAL_VALIDATION_CN.md" TargetMode="External" /><ns0:Relationship Id="link5" Type="http://schemas.openxmlformats.org/officeDocument/2006/relationships/hyperlink" Target="../src/phase2/interaction_generator.py" TargetMode="External" /><ns0:Relationship Id="link6" Type="http://schemas.openxmlformats.org/officeDocument/2006/relationships/hyperlink" Target="../src/phase2/observation_operators.py" TargetMode="External" /><ns0:Relationship Id="link7" Type="http://schemas.openxmlformats.org/officeDocument/2006/relationships/hyperlink" Target="../paper_experiments_v1/g1/src/g1_core.py" TargetMode="External" /><ns0:Relationship Id="link8" Type="http://schemas.openxmlformats.org/officeDocument/2006/relationships/hyperlink" Target="../paper_experiments_v1/closure_r8/src/complex_geometry.py" TargetMode="External" /><ns0:Relationship Id="link9" Type="http://schemas.openxmlformats.org/officeDocument/2006/relationships/hyperlink" Target="../paper_experiments_v1/g1/final_results/METHOD.json" TargetMode="External" /><ns0:Relationship Id="link10" Type="http://schemas.openxmlformats.org/officeDocument/2006/relationships/hyperlink" Target="../paper_experiments_v1/closure_r8/src/exact_target.py" TargetMode="External" /><ns0:Relationship Id="link11" Type="http://schemas.openxmlformats.org/officeDocument/2006/relationships/hyperlink" Target="../paper_experiments_v1/closure_r8/src/refine_profile_v2.py" TargetMode="External" /><ns0:Relationship Id="link12" Type="http://schemas.openxmlformats.org/officeDocument/2006/relationships/hyperlink" Target="../paper_experiments_v1/reviewer_audit/redesign_r2/run_simulations.py" TargetMode="External" /><ns0:Relationship Id="link13" Type="http://schemas.openxmlformats.org/officeDocument/2006/relationships/hyperlink" Target="../paper_experiments_v1/closure_r8/src/acquisition.py" TargetMode="External" /><ns0:Relationship Id="link14" Type="http://schemas.openxmlformats.org/officeDocument/2006/relationships/hyperlink" Target="../paper_experiments_v1/closure_r8/src/run_g5.py" TargetMode="External" /><ns0:Relationship Id="link15" Type="http://schemas.openxmlformats.org/officeDocument/2006/relationships/hyperlink" Target="../paper_experiments_v1/g1/final_results/REPORT_CN.md" TargetMode="External" /><ns0:Relationship Id="link16" Type="http://schemas.openxmlformats.org/officeDocument/2006/relationships/hyperlink" Target="../paper_experiments_v1/g1/final_results/experiment_data/G1_R8_geometry.tsv" TargetMode="External" /><ns0:Relationship Id="link17" Type="http://schemas.openxmlformats.org/officeDocument/2006/relationships/hyperlink" Target="../paper_experiments_v1/g2/final_results/REPORT_CN.md" TargetMode="External" /><ns0:Relationship Id="link18" Type="http://schemas.openxmlformats.org/officeDocument/2006/relationships/hyperlink" Target="../paper_experiments_v1/g2/final_results/plot_data/G2_02.tsv" TargetMode="External" /><ns0:Relationship Id="link19" Type="http://schemas.openxmlformats.org/officeDocument/2006/relationships/hyperlink" Target="../paper_experiments_v1/g2/final_results/plot_data/G2_07.tsv" TargetMode="External" /><ns0:Relationship Id="link20" Type="http://schemas.openxmlformats.org/officeDocument/2006/relationships/hyperlink" Target="../paper_experiments_v1/g3/final_results/REPORT_CN.md" TargetMode="External" /><ns0:Relationship Id="link21" Type="http://schemas.openxmlformats.org/officeDocument/2006/relationships/hyperlink" Target="../paper_experiments_v1/g3/final_results/plot_data/G3_07.tsv" TargetMode="External" /><ns0:Relationship Id="link22" Type="http://schemas.openxmlformats.org/officeDocument/2006/relationships/hyperlink" Target="../paper_experiments_v1/g3/final_results/plot_data/G3_R3_reference_anchor.tsv" TargetMode="External" /><ns0:Relationship Id="link23" Type="http://schemas.openxmlformats.org/officeDocument/2006/relationships/hyperlink" Target="../paper_experiments_v1/g4/final_results/REPORT_CN.md" TargetMode="External" /><ns0:Relationship Id="link24" Type="http://schemas.openxmlformats.org/officeDocument/2006/relationships/hyperlink" Target="../paper_experiments_v1/g4/final_results/experiment_data/E1_confirmation_by_design.tsv" TargetMode="External" /><ns0:Relationship Id="link25" Type="http://schemas.openxmlformats.org/officeDocument/2006/relationships/hyperlink" Target="../paper_experiments_v1/g4/final_results/experiment_data/attribution_summary.tsv" TargetMode="External" /><ns0:Relationship Id="link26" Type="http://schemas.openxmlformats.org/officeDocument/2006/relationships/hyperlink" Target="../paper_experiments_v1/g5/final_results/REPORT_CN.md" TargetMode="External" /><ns0:Relationship Id="link27" Type="http://schemas.openxmlformats.org/officeDocument/2006/relationships/hyperlink" Target="../paper_experiments_v1/g5/final_results/experiment_data/R8_all_policies.tsv" TargetMode="External" /><ns0:Relationship Id="link28" Type="http://schemas.openxmlformats.org/officeDocument/2006/relationships/hyperlink" Target="../paper_experiments_v1/g5/final_results/experiment_data/R8_matched_size.tsv" TargetMode="External" /><ns0:Relationship Id="link29" Type="http://schemas.openxmlformats.org/officeDocument/2006/relationships/hyperlink" Target="DATA_DEPENDENCIES_CN.md" TargetMode="External" /><ns0:Relationship Id="link30" Type="http://schemas.openxmlformats.org/officeDocument/2006/relationships/hyperlink" Target="../paper_experiments_v1/g4/final_results/plot_data/G4_BIO_01_later_lineage.tsv" TargetMode="External" /><ns0:Relationship Id="link31" Type="http://schemas.openxmlformats.org/officeDocument/2006/relationships/hyperlink" Target="../paper_experiments_v1/g5/final_results/experiment_data/BIO/ctdna/FUTURE_TISSUE_SUMMARY.tsv" TargetMode="External" /><ns0:Relationship Id="link32" Type="http://schemas.openxmlformats.org/officeDocument/2006/relationships/hyperlink" Target="../paper_experiments_v1/g5/final_results/plot_data/G5_BIO_02_future_clone_tracking.tsv" TargetMode="External" /><ns0:Relationship Id="link33" Type="http://schemas.openxmlformats.org/officeDocument/2006/relationships/hyperlink" Target="../paper_experiments_v1/g1/final_figures" TargetMode="External" /><ns0:Relationship Id="link34" Type="http://schemas.openxmlformats.org/officeDocument/2006/relationships/hyperlink" Target="../paper_experiments_v1/g1/final_results/plot_data" TargetMode="External" /><ns0:Relationship Id="link35" Type="http://schemas.openxmlformats.org/officeDocument/2006/relationships/hyperlink" Target="../paper_experiments_v1/g2/final_figures" TargetMode="External" /><ns0:Relationship Id="link36" Type="http://schemas.openxmlformats.org/officeDocument/2006/relationships/hyperlink" Target="../paper_experiments_v1/g2/final_results/plot_data" TargetMode="External" /><ns0:Relationship Id="link37" Type="http://schemas.openxmlformats.org/officeDocument/2006/relationships/hyperlink" Target="../paper_experiments_v1/g3/final_figures" TargetMode="External" /><ns0:Relationship Id="link38" Type="http://schemas.openxmlformats.org/officeDocument/2006/relationships/hyperlink" Target="../paper_experiments_v1/g3/final_results/plot_data" TargetMode="External" /><ns0:Relationship Id="link39" Type="http://schemas.openxmlformats.org/officeDocument/2006/relationships/hyperlink" Target="../paper_experiments_v1/g4/final_figures" TargetMode="External" /><ns0:Relationship Id="link40" Type="http://schemas.openxmlformats.org/officeDocument/2006/relationships/hyperlink" Target="../paper_experiments_v1/g4/final_results/plot_data" TargetMode="External" /><ns0:Relationship Id="link41" Type="http://schemas.openxmlformats.org/officeDocument/2006/relationships/hyperlink" Target="../paper_experiments_v1/g5/final_figures" TargetMode="External" /><ns0:Relationship Id="link42" Type="http://schemas.openxmlformats.org/officeDocument/2006/relationships/hyperlink" Target="../paper_experiments_v1/g5/final_results/plot_data" TargetMode="External" /><ns0:Relationship Id="link43" Type="http://schemas.openxmlformats.org/officeDocument/2006/relationships/hyperlink" Target="FIGURE_TO_CODE.tsv" TargetMode="External" /><ns0:Relationship Id="link44" Type="http://schemas.openxmlformats.org/officeDocument/2006/relationships/hyperlink" Target="CORE_CODE_INDEX_CN.md" TargetMode="External" /><ns0:Relationship Id="link45" Type="http://schemas.openxmlformats.org/officeDocument/2006/relationships/hyperlink" Target="G2_CODE_MAP_CN.md" TargetMode="External" /><ns0:Relationship Id="link46" Type="http://schemas.openxmlformats.org/officeDocument/2006/relationships/hyperlink" Target="../paper_experiments_v1/closure_r8/reports/REPRODUCE_COMMANDS.md" TargetMode="External" /><ns0:Relationship Id="link47" Type="http://schemas.openxmlformats.org/officeDocument/2006/relationships/hyperlink" Target="../paper_experiments_v1/biological_closure_20261009/RUN_COMMANDS.md" TargetMode="External" /><ns0:Relationship Id="link48" Type="http://schemas.openxmlformats.org/officeDocument/2006/relationships/hyperlink" Target="REPRODUCE_CN.md" TargetMode="External" /><ns0:Relationship Id="link49" Type="http://schemas.openxmlformats.org/officeDocument/2006/relationships/hyperlink" Target="../provenance/SOURCE_MAP.tsv" TargetMode="External" /></ns0:Relationships>
</file>