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firstLine="709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Результаты вычисления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FFFFFF" w:val="clear"/>
        </w:rPr>
        <w:br/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,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,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>приведены в табл. 8.</w:t>
      </w:r>
    </w:p>
    <w:p>
      <w:pPr>
        <w:pStyle w:val="Normal"/>
        <w:spacing w:lineRule="auto" w:line="240" w:before="0" w:after="0"/>
        <w:ind w:left="0" w:firstLine="709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По таблице “Критические точки распределения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” величина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5,5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 и не входит в критическую область (т.е.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 &lt;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), поэтому гипотеза о том, что случайная величина Х подчинена нормальному закону распределения, не отвергается. </w:t>
      </w:r>
    </w:p>
    <w:p>
      <w:pPr>
        <w:pStyle w:val="Normal"/>
        <w:spacing w:lineRule="auto" w:line="240" w:before="0" w:after="0"/>
        <w:ind w:left="0" w:firstLine="709"/>
        <w:rPr>
          <w:rFonts w:ascii="Times New Roman" w:hAnsi="Times New Roman" w:cs="Times New Roman"/>
          <w:b w:val="false"/>
          <w:b w:val="false"/>
          <w:bCs w:val="false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ind w:left="0" w:firstLine="709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 xml:space="preserve">Теперь приведем таблицы и графики для случайной величины </w:t>
      </w: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suppressAutoHyphens w:val="false"/>
        <w:spacing w:lineRule="auto" w:line="240" w:before="0" w:after="0"/>
        <w:ind w:left="0" w:hanging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Составим ранжированный (по увеличению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) ряд для случайных величин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0" w:hanging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Т а б л и ц а 9. Ранжированный ряд для величины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(по увеличению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8548" w:type="dxa"/>
        <w:jc w:val="left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7"/>
        <w:gridCol w:w="795"/>
        <w:gridCol w:w="777"/>
        <w:gridCol w:w="795"/>
        <w:gridCol w:w="777"/>
        <w:gridCol w:w="796"/>
        <w:gridCol w:w="777"/>
        <w:gridCol w:w="777"/>
        <w:gridCol w:w="795"/>
        <w:gridCol w:w="777"/>
        <w:gridCol w:w="795"/>
      </w:tblGrid>
      <w:tr>
        <w:trPr/>
        <w:tc>
          <w:tcPr>
            <w:tcW w:w="68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X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</w:tr>
      <w:tr>
        <w:trPr/>
        <w:tc>
          <w:tcPr>
            <w:tcW w:w="68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Y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173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147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183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184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164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183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158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156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8584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3"/>
        <w:gridCol w:w="795"/>
        <w:gridCol w:w="777"/>
        <w:gridCol w:w="795"/>
        <w:gridCol w:w="777"/>
        <w:gridCol w:w="796"/>
        <w:gridCol w:w="777"/>
        <w:gridCol w:w="777"/>
        <w:gridCol w:w="795"/>
        <w:gridCol w:w="777"/>
        <w:gridCol w:w="795"/>
      </w:tblGrid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X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81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Y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156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170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171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168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150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162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157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184</w:t>
            </w:r>
          </w:p>
        </w:tc>
        <w:tc>
          <w:tcPr>
            <w:tcW w:w="79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181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153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170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164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89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171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147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176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149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Составим таблицу, в которой отразим частоты 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появления случайных</w:t>
        <w:br/>
        <w:t xml:space="preserve">величин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столько раз данный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появляется в выборке), и</w:t>
        <w:br/>
        <w:t>относительные частоты 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>= 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/N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sz w:val="28"/>
          <w:szCs w:val="28"/>
        </w:rPr>
        <w:t xml:space="preserve"> 10. Дискретный вариационный ряд для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Y</w:t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xi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8/200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15/200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19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xi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93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98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14/200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13/200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11/200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10/200</w:t>
            </w:r>
          </w:p>
        </w:tc>
      </w:tr>
    </w:tbl>
    <w:p>
      <w:pPr>
        <w:pStyle w:val="NormalWeb"/>
        <w:spacing w:lineRule="auto" w:line="240" w:before="0" w:after="0"/>
        <w:ind w:hang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</w:t>
      </w:r>
    </w:p>
    <w:p>
      <w:pPr>
        <w:pStyle w:val="NormalWeb"/>
        <w:spacing w:lineRule="auto" w:line="240" w:before="0" w:after="0"/>
        <w:ind w:hanging="0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Для построения вариационного ряда будем использовать интервальный ряд распределения. Весь возможный интервал варьирования разобьём на конечное число интервалов и подсчитаем частоту попадания значений величины в каждый интервал. Минимальное и максимальное значения случайной величины: </w:t>
      </w:r>
      <w:r>
        <w:rPr>
          <w:b/>
          <w:bCs/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vertAlign w:val="subscript"/>
        </w:rPr>
        <w:t>min</w:t>
      </w:r>
      <w:r>
        <w:rPr>
          <w:b/>
          <w:bCs/>
          <w:color w:val="000000"/>
          <w:sz w:val="28"/>
          <w:szCs w:val="28"/>
        </w:rPr>
        <w:t xml:space="preserve"> =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 w:bidi="ar-SA"/>
        </w:rPr>
        <w:t>80</w:t>
      </w:r>
      <w:r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vertAlign w:val="subscript"/>
        </w:rPr>
        <w:t>max</w:t>
      </w:r>
      <w:r>
        <w:rPr>
          <w:b/>
          <w:bCs/>
          <w:color w:val="000000"/>
          <w:sz w:val="28"/>
          <w:szCs w:val="28"/>
        </w:rPr>
        <w:t xml:space="preserve"> =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 w:bidi="ar-SA"/>
        </w:rPr>
        <w:t>90</w:t>
      </w:r>
      <w:r>
        <w:rPr>
          <w:b/>
          <w:bCs/>
          <w:color w:val="000000"/>
          <w:sz w:val="28"/>
          <w:szCs w:val="28"/>
        </w:rPr>
        <w:t xml:space="preserve"> Тогда интервал варьирования R («размах») будет равен R = </w:t>
      </w:r>
      <w:r>
        <w:rPr>
          <w:b/>
          <w:bCs/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vertAlign w:val="subscript"/>
        </w:rPr>
        <w:t>max</w:t>
      </w:r>
      <w:r>
        <w:rPr>
          <w:b/>
          <w:bCs/>
          <w:color w:val="000000"/>
          <w:sz w:val="28"/>
          <w:szCs w:val="28"/>
        </w:rPr>
        <w:t xml:space="preserve"> - </w:t>
      </w:r>
      <w:r>
        <w:rPr>
          <w:b/>
          <w:bCs/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vertAlign w:val="subscript"/>
        </w:rPr>
        <w:t xml:space="preserve">min </w:t>
      </w:r>
      <w:r>
        <w:rPr>
          <w:b/>
          <w:bCs/>
          <w:color w:val="000000"/>
          <w:sz w:val="28"/>
          <w:szCs w:val="28"/>
        </w:rPr>
        <w:t xml:space="preserve">= 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 xml:space="preserve">. Рассчитаем размер интервала h по формуле </w:t>
      </w: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3.28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b/>
          <w:bCs/>
          <w:color w:val="000000"/>
          <w:sz w:val="28"/>
          <w:szCs w:val="28"/>
        </w:rPr>
        <w:t xml:space="preserve"> . Получим, h</w:t>
      </w:r>
      <w:r>
        <w:rPr>
          <w:b/>
          <w:bCs/>
          <w:color w:val="000000"/>
          <w:sz w:val="28"/>
          <w:szCs w:val="28"/>
          <w:vertAlign w:val="subscript"/>
          <w:lang w:val="en-US"/>
        </w:rPr>
        <w:t>y</w:t>
      </w:r>
      <w:r>
        <w:rPr>
          <w:b/>
          <w:bCs/>
          <w:color w:val="000000"/>
          <w:sz w:val="28"/>
          <w:szCs w:val="28"/>
        </w:rPr>
        <w:t xml:space="preserve"> ≈ </w:t>
      </w:r>
      <w:r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, тогда число интервалов будет равно 16.</w:t>
      </w:r>
    </w:p>
    <w:p>
      <w:pPr>
        <w:pStyle w:val="NormalWeb"/>
        <w:spacing w:lineRule="auto" w:line="240" w:before="0" w:after="0"/>
        <w:ind w:hanging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Web"/>
        <w:spacing w:lineRule="auto" w:line="240" w:before="0" w:after="0"/>
        <w:ind w:hanging="0"/>
        <w:jc w:val="lef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 xml:space="preserve">       </w:t>
      </w:r>
      <w:r>
        <w:rPr>
          <w:rFonts w:cs="Times New Roman"/>
          <w:b/>
          <w:bCs/>
          <w:color w:val="000000"/>
          <w:sz w:val="28"/>
          <w:szCs w:val="28"/>
        </w:rPr>
        <w:t xml:space="preserve">Т а б л и ц а 11. Интервальный вариационный ряд для 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Y</w:t>
      </w:r>
      <w:r>
        <w:rPr>
          <w:rFonts w:cs="Times New Roman"/>
          <w:b/>
          <w:bCs/>
          <w:color w:val="000000"/>
          <w:sz w:val="28"/>
          <w:szCs w:val="28"/>
        </w:rPr>
        <w:t>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xi&lt;X&lt;=xi+1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ni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pi=ni/N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80-82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29/200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82-84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84-86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22/200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86-88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28/200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88-90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90-92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23/200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92-94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25/200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94-96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11/200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96-98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24/200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98-100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10/200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spacing w:lineRule="auto" w:line="240" w:before="0" w:after="143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Контрольные суммы (промежуточный контроль вычислений) равны   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00 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1</w:t>
      </w:r>
    </w:p>
    <w:p>
      <w:pPr>
        <w:pStyle w:val="Normal"/>
        <w:spacing w:lineRule="auto" w:line="240" w:before="0" w:after="143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После составления вариационного ряда необходимо построить</w:t>
        <w:br/>
        <w:t>функцию распределения выборки или эмпирическую функцию F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perscript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(x)=N/n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86"/>
        <w:ind w:left="0" w:hanging="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12. Расчет эмпирической функции распределения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F*(x)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29/200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29/200 + 18/200 = 47/200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47/200 + 22/200 = 69/200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69/200 + 28/200 = 97/200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97/200 + 10/200 = 107/200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107/200 + 23/200 = 130/200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130/200 + 25/200 = 155/200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155/200 + 11/200 = 166/200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166/200 + 24/200 = 190/200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190/200 + 10/200 = 200/200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основании полученных выборочных данных необходимо сделать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предположение, что изучаемая величина распределена по некоторому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определённому закону. Для того чтобы проверить, согласуется ли это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предположение с данными наблюдений, вычисляют частоты полученных в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наблюдениях значений, т.е. находят теоретически сколько раз величина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должна была принять каждое из наблюдавшихся значений, если она распределена по предполагаемому закону. Для этого находят выравнивающие(теоретические) частоты по формуле: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где N – число испытаний,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- вероятность наблюдаемого значения 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, вычисленная при допущении, что Х имеет предполагаемое распределение.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ab/>
        <w:tab/>
        <w:t>Т а б л и ц 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13. Дискретный вариационный ряд для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Xi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 / h*N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81.0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0.145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0.072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83.0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0.090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0.045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85.0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0.110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0.055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87.0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0.140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0.070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89.0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91.0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0.058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93.0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0.125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0.062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95.0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0.055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0.028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97.0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0.120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0.060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99.0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852160" cy="4389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Рис 4. Эмпирическая функция распределения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Эмпирические (полученные из таблицы, сплошная линия на рис. 4) и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полученные позже выравнивающие частоты сравнивают, и при небольшом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расхождении данных делают заключение о выбранном законе распределения.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Мы предположим, что случайная величина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распределена нормально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(в случае, когда на случайную величину влияют многие различные причины,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действие некоторых из них мы часто не в состоянии описать, это наиболее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часто встречающееся распределение). В этом случае выравнивающие частоты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находят по формуле: </w:t>
      </w:r>
      <w:r>
        <w:rPr>
          <w:b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, где N-число испытаний, h-длина частичного интервала </w:t>
      </w:r>
      <w:r>
        <w:rPr>
          <w:b/>
        </w:rPr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bar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shd w:fill="FFFFFF" w:val="clear"/>
        </w:rPr>
        <w:t xml:space="preserve"> </w:t>
      </w:r>
      <w:r>
        <w:rPr>
          <w:b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 -выборочное среднее и выборочное среднее</w:t>
      </w:r>
    </w:p>
    <w:p>
      <w:pPr>
        <w:pStyle w:val="Normal"/>
        <w:spacing w:lineRule="auto" w:line="24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квадратичное отклонение соответственно,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- середина i – го частичного интервала),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ⅇ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- функция Лапласа.</w:t>
      </w:r>
    </w:p>
    <w:p>
      <w:pPr>
        <w:pStyle w:val="Normal"/>
        <w:rPr/>
      </w:pPr>
      <w:r>
        <w:rPr/>
        <w:drawing>
          <wp:inline distT="0" distB="0" distL="114935" distR="114935">
            <wp:extent cx="6329680" cy="33528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Рис 5. Эмпирические и теоретические частоты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Найдем числовые характеристики вариационных рядов.</w:t>
      </w:r>
    </w:p>
    <w:p>
      <w:pPr>
        <w:pStyle w:val="Normal"/>
        <w:spacing w:lineRule="auto" w:line="240" w:before="0" w:after="0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 = 89.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- математическое ожидание</w:t>
      </w:r>
    </w:p>
    <w:p>
      <w:pPr>
        <w:pStyle w:val="Normal"/>
        <w:spacing w:lineRule="auto" w:line="240" w:before="0" w:after="0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dy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33.23 - дисперсия </w:t>
      </w:r>
    </w:p>
    <w:p>
      <w:pPr>
        <w:pStyle w:val="Normal"/>
        <w:spacing w:lineRule="auto" w:line="240" w:before="0" w:after="0"/>
        <w:ind w:firstLine="709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=5.76 - среднее квадратичное отклонение</w:t>
      </w:r>
    </w:p>
    <w:p>
      <w:pPr>
        <w:pStyle w:val="Normal"/>
        <w:spacing w:lineRule="auto" w:line="240" w:before="0" w:after="0"/>
        <w:ind w:firstLine="709"/>
        <w:jc w:val="left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967095" cy="39484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43"/>
        <w:rPr/>
      </w:pPr>
      <w:r>
        <w:rPr/>
        <w:t xml:space="preserve">          </w:t>
      </w:r>
      <w:r>
        <w:rPr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Рис 3. Гистограмма интегрального вариационного ряда для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</w:p>
    <w:p>
      <w:pPr>
        <w:pStyle w:val="Normal"/>
        <w:spacing w:lineRule="auto" w:line="240" w:before="0" w:after="143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lineRule="auto" w:line="240" w:before="0" w:after="86"/>
        <w:ind w:firstLine="708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Найдем несмещённую оценку дисперсии и среднеквадратического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отклонения («исправленную» выборочную дисперсию и среднеквадратическое отклонение) по формулам: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и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rad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S =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5.7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несмещенное значение выборочного среднего квадратичного отклонения.</w:t>
      </w:r>
    </w:p>
    <w:p>
      <w:pPr>
        <w:pStyle w:val="Normal"/>
        <w:spacing w:lineRule="auto" w:line="24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Теперь мы получили выравнивающие (теоретические) частоты. Ниже мы проведём более строгий анализ. Графическое изображение вариационных рядов в виде полигона и гистограммы позволяет получать первоначальное представление о закономерностях, имеющих место в совокупности наблюдений.</w:t>
      </w:r>
    </w:p>
    <w:p>
      <w:pPr>
        <w:pStyle w:val="Normal"/>
        <w:spacing w:lineRule="auto" w:line="240" w:before="0" w:after="143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Теперь проведём более строгую проверку нашей основной гипотезы. Для расчёта теоретических частот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используют табличные значения функции Лапласа Ф(z). Алгоритм вычисления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состоит в следующем: по нормированным значениям случайной величины Z находят значения Ф(z), а затем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= 0,5 + Ф(z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).</w:t>
      </w:r>
    </w:p>
    <w:p>
      <w:pPr>
        <w:pStyle w:val="Normal"/>
        <w:spacing w:lineRule="auto" w:line="240" w:before="0" w:after="143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14. Расчет выравнивающих частот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) для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</w:t>
      </w:r>
    </w:p>
    <w:tbl>
      <w:tblPr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val="en-US" w:eastAsia="ru-RU" w:bidi="ar-SA"/>
              </w:rPr>
              <w:t>Y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i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val="en-US" w:eastAsia="ru-RU" w:bidi="ar-SA"/>
              </w:rPr>
              <w:t>Y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val="en-US"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–</w:t>
            </w:r>
            <w:r>
              <w:rPr>
                <w:rFonts w:eastAsia="Times New Roman" w:cs="Calibri" w:ascii="Calibri" w:hAnsi="Calibri"/>
                <w:color w:val="000000"/>
                <w:lang w:val="en-US" w:eastAsia="ru-RU" w:bidi="ar-SA"/>
              </w:rPr>
              <w:t>Y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eastAsia="ru-RU" w:bidi="ar-SA"/>
              </w:rPr>
              <w:t>в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= </w:t>
            </w:r>
            <w:r>
              <w:rPr>
                <w:rFonts w:eastAsia="Times New Roman" w:cs="Calibri" w:ascii="Calibri" w:hAnsi="Calibri"/>
                <w:color w:val="000000"/>
                <w:lang w:val="en-US" w:eastAsia="ru-RU" w:bidi="ar-SA"/>
              </w:rPr>
              <w:t>Y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val="en-US"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–</w:t>
            </w:r>
            <w:r>
              <w:rPr>
                <w:rFonts w:eastAsia="Times New Roman" w:cs="Calibri" w:ascii="Calibri" w:hAnsi="Calibri"/>
                <w:color w:val="000000"/>
                <w:lang w:val="en-US" w:eastAsia="ru-RU" w:bidi="ar-SA"/>
              </w:rPr>
              <w:t>Y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eastAsia="ru-RU" w:bidi="ar-SA"/>
              </w:rPr>
              <w:t>в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/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oMath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Nh</m:t>
                    </m:r>
                    <m:r>
                      <w:rPr>
                        <w:rFonts w:ascii="Cambria Math" w:hAnsi="Cambria Math"/>
                      </w:rPr>
                      <m:t xml:space="preserve">φ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oMath>
            </m:oMathPara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oMath>
            </m:oMathPara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81.0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-8.505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-1.475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9.324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0.045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83.0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-6.505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-1.128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0.211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14.646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15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0.075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85.0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-4.505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-0.781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0.294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20.397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0.100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87.0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-2.505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-0.434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0.363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25.185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25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0.125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89.0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-0.505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-0.088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0.397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27.572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28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0.140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91.0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1.495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0.259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0.386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26.763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27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0.135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93.0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3.495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0.606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0.332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23.033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23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0.115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95.0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5.495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0.953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0.253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17.575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18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0.090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97.0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7.495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1.300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11.890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0.060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99.0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9.495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1.647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0.103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7.132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7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/>
            </w:pPr>
            <w:r>
              <w:rPr/>
              <w:t>0.035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Далее вычисляют вероятности попадания случайной величины </w:t>
      </w:r>
      <w:bookmarkStart w:id="0" w:name="_GoBack"/>
      <w:bookmarkEnd w:id="0"/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в интервал с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помощью (интегральной) функции распределения. </w:t>
      </w:r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=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≤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˂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</w:rPr>
        <w:t>+1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)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Возьмем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(уровень значимости), степень свободы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k-3 = 13 (k = 16 промежутков).</w:t>
      </w:r>
      <w:r>
        <w:rPr/>
      </w:r>
      <m:oMath xmlns:m="http://schemas.openxmlformats.org/officeDocument/2006/math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15. Определение </w:t>
      </w:r>
      <w:r>
        <w:rPr>
          <w:b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для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3"/>
        <w:gridCol w:w="1446"/>
        <w:gridCol w:w="710"/>
        <w:gridCol w:w="960"/>
        <w:gridCol w:w="961"/>
        <w:gridCol w:w="960"/>
        <w:gridCol w:w="960"/>
        <w:gridCol w:w="960"/>
        <w:gridCol w:w="959"/>
      </w:tblGrid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i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color w:val="000000"/>
              </w:rPr>
              <w:t>÷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Ф(z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)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oMath>
            </m:oMathPara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oMath>
            </m:oMathPara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bSup>
                  </m:den>
                </m:f>
              </m:oMath>
            </m:oMathPara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-∞÷81.0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-0.500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13.10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13.10</w:t>
            </w:r>
            <w:r>
              <w:rPr/>
              <w:t>]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81.0÷83.0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-0.434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0.0595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11.91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24.52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83.0÷85.0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-0.375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0.0617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12.33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2.605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85.0÷87.0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-0.313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0.333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0.1469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29.37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1.851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87.0÷89.0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-0.166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0.333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-0.5085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-101.7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89.0÷91.0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-0.675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-0.17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0.8229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164.5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9.848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91.0÷93.0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0.0909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18.17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1.280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93.0÷95.0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0.239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0.841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0.1024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20.48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0.994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95.0÷97.0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0.341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0.0717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14.34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0.781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97.0÷99.0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0.413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0.977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0.0642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12.83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9.714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99.0÷+∞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0.477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0.977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0.000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color w:val="auto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9</Pages>
  <Words>1474</Words>
  <Characters>6274</Characters>
  <CharactersWithSpaces>6960</CharactersWithSpaces>
  <Paragraphs>867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2021-11-26T10:48:11Z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