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Checklist for data-driven visualizations</w:t>
      </w:r>
    </w:p>
    <w:p>
      <w:pPr>
        <w:pStyle w:val="FirstParagraph"/>
      </w:pPr>
      <w:r>
        <w:rPr>
          <w:i/>
          <w:iCs/>
        </w:rPr>
        <w:t xml:space="preserve">from</w:t>
      </w:r>
      <w:r>
        <w:t xml:space="preserve"> </w:t>
      </w:r>
      <w:r>
        <w:t xml:space="preserve">University of Oklahoma Libraries</w:t>
      </w:r>
    </w:p>
    <w:bookmarkStart w:id="9" w:name="what-goals"/>
    <w:p>
      <w:pPr>
        <w:pStyle w:val="Heading2"/>
      </w:pPr>
      <w:r>
        <w:t xml:space="preserve">What: goals</w:t>
      </w:r>
    </w:p>
    <w:p>
      <w:pPr>
        <w:pStyle w:val="FirstParagraph"/>
      </w:pPr>
      <w:r>
        <w:t xml:space="preserve">Know if you are telling a story or exploring your data. Then, consider these points:</w:t>
      </w:r>
    </w:p>
    <w:p>
      <w:pPr>
        <w:pStyle w:val="Compact"/>
        <w:numPr>
          <w:ilvl w:val="0"/>
          <w:numId w:val="1001"/>
        </w:numPr>
      </w:pPr>
      <w:r>
        <w:t xml:space="preserve">Include the relevant variables from your research question</w:t>
      </w:r>
    </w:p>
    <w:p>
      <w:pPr>
        <w:pStyle w:val="Compact"/>
        <w:numPr>
          <w:ilvl w:val="0"/>
          <w:numId w:val="1002"/>
        </w:numPr>
      </w:pPr>
      <w:r>
        <w:t xml:space="preserve">Check your field’s literature or journal’s style guide for example visualizations</w:t>
      </w:r>
    </w:p>
    <w:p>
      <w:pPr>
        <w:pStyle w:val="Compact"/>
        <w:numPr>
          <w:ilvl w:val="0"/>
          <w:numId w:val="1003"/>
        </w:numPr>
      </w:pPr>
      <w:r>
        <w:t xml:space="preserve">Consider if you need more than one visual to tell your story</w:t>
      </w:r>
    </w:p>
    <w:bookmarkEnd w:id="9"/>
    <w:bookmarkStart w:id="10" w:name="why-human-perception"/>
    <w:p>
      <w:pPr>
        <w:pStyle w:val="Heading2"/>
      </w:pPr>
      <w:r>
        <w:t xml:space="preserve">Why: human perception</w:t>
      </w:r>
    </w:p>
    <w:p>
      <w:pPr>
        <w:pStyle w:val="FirstParagraph"/>
      </w:pPr>
      <w:r>
        <w:t xml:space="preserve">People (including you, the author) need to read and see your visualization to understand your story.</w:t>
      </w:r>
    </w:p>
    <w:p>
      <w:pPr>
        <w:pStyle w:val="Compact"/>
        <w:numPr>
          <w:ilvl w:val="0"/>
          <w:numId w:val="1004"/>
        </w:numPr>
      </w:pPr>
      <w:r>
        <w:t xml:space="preserve">Make lines bolder, symbols larger, and font larger than software defaults</w:t>
      </w:r>
    </w:p>
    <w:p>
      <w:pPr>
        <w:pStyle w:val="Compact"/>
        <w:numPr>
          <w:ilvl w:val="0"/>
          <w:numId w:val="1005"/>
        </w:numPr>
      </w:pPr>
      <w:r>
        <w:t xml:space="preserve">Use perceptually accurate representations such as common baselines, small multiples, or length</w:t>
      </w:r>
    </w:p>
    <w:p>
      <w:pPr>
        <w:pStyle w:val="Compact"/>
        <w:numPr>
          <w:ilvl w:val="0"/>
          <w:numId w:val="1006"/>
        </w:numPr>
      </w:pPr>
      <w:r>
        <w:t xml:space="preserve">Remove perceptually inaccurate representations like angles or slope, area, volume, and colors for quantitative scales</w:t>
      </w:r>
    </w:p>
    <w:bookmarkEnd w:id="10"/>
    <w:bookmarkStart w:id="14" w:name="how-design-and-defaults"/>
    <w:p>
      <w:pPr>
        <w:pStyle w:val="Heading2"/>
      </w:pPr>
      <w:r>
        <w:t xml:space="preserve">How: design and defaults</w:t>
      </w:r>
    </w:p>
    <w:p>
      <w:pPr>
        <w:pStyle w:val="FirstParagraph"/>
      </w:pPr>
      <w:r>
        <w:t xml:space="preserve">Make changes to your visualization to tell your story more clearly. Most program defaults are not designed for presentations, universal accessibility, or ease of reading.</w:t>
      </w:r>
    </w:p>
    <w:bookmarkStart w:id="11" w:name="highlight"/>
    <w:p>
      <w:pPr>
        <w:pStyle w:val="Heading3"/>
      </w:pPr>
      <w:r>
        <w:t xml:space="preserve">Highlight</w:t>
      </w:r>
    </w:p>
    <w:p>
      <w:pPr>
        <w:pStyle w:val="Compact"/>
        <w:numPr>
          <w:ilvl w:val="0"/>
          <w:numId w:val="1007"/>
        </w:numPr>
      </w:pPr>
      <w:r>
        <w:t xml:space="preserve">Make data visually prominent</w:t>
      </w:r>
    </w:p>
    <w:p>
      <w:pPr>
        <w:pStyle w:val="Compact"/>
        <w:numPr>
          <w:ilvl w:val="0"/>
          <w:numId w:val="1008"/>
        </w:numPr>
      </w:pPr>
      <w:r>
        <w:t xml:space="preserve">Use smallest effective change/contrast for differences</w:t>
      </w:r>
    </w:p>
    <w:p>
      <w:pPr>
        <w:pStyle w:val="Compact"/>
        <w:numPr>
          <w:ilvl w:val="0"/>
          <w:numId w:val="1009"/>
        </w:numPr>
      </w:pPr>
      <w:r>
        <w:t xml:space="preserve">Do any calculations for the viewer</w:t>
      </w:r>
    </w:p>
    <w:bookmarkEnd w:id="11"/>
    <w:bookmarkStart w:id="12" w:name="organize"/>
    <w:p>
      <w:pPr>
        <w:pStyle w:val="Heading3"/>
      </w:pPr>
      <w:r>
        <w:t xml:space="preserve">Organize</w:t>
      </w:r>
    </w:p>
    <w:p>
      <w:pPr>
        <w:pStyle w:val="Compact"/>
        <w:numPr>
          <w:ilvl w:val="0"/>
          <w:numId w:val="1010"/>
        </w:numPr>
      </w:pPr>
      <w:r>
        <w:t xml:space="preserve">Use common baselines wherever possible to make group comparisons</w:t>
      </w:r>
    </w:p>
    <w:p>
      <w:pPr>
        <w:pStyle w:val="Compact"/>
        <w:numPr>
          <w:ilvl w:val="0"/>
          <w:numId w:val="1011"/>
        </w:numPr>
      </w:pPr>
      <w:r>
        <w:t xml:space="preserve">Use small multiples to show otherwise overlapping groups</w:t>
      </w:r>
    </w:p>
    <w:p>
      <w:pPr>
        <w:pStyle w:val="Compact"/>
        <w:numPr>
          <w:ilvl w:val="0"/>
          <w:numId w:val="1012"/>
        </w:numPr>
      </w:pPr>
      <w:r>
        <w:t xml:space="preserve">Reduce interior clutter in grids, ticks, labels, etc</w:t>
      </w:r>
    </w:p>
    <w:bookmarkEnd w:id="12"/>
    <w:bookmarkStart w:id="13" w:name="integrate-with-context"/>
    <w:p>
      <w:pPr>
        <w:pStyle w:val="Heading3"/>
      </w:pPr>
      <w:r>
        <w:t xml:space="preserve">Integrate with context</w:t>
      </w:r>
    </w:p>
    <w:p>
      <w:pPr>
        <w:pStyle w:val="Compact"/>
        <w:numPr>
          <w:ilvl w:val="0"/>
          <w:numId w:val="1013"/>
        </w:numPr>
      </w:pPr>
      <w:r>
        <w:t xml:space="preserve">Label variables and data consistent with text</w:t>
      </w:r>
    </w:p>
    <w:p>
      <w:pPr>
        <w:pStyle w:val="Compact"/>
        <w:numPr>
          <w:ilvl w:val="0"/>
          <w:numId w:val="1014"/>
        </w:numPr>
      </w:pPr>
      <w:r>
        <w:t xml:space="preserve">Use consistent symbology in related visualizations</w:t>
      </w:r>
    </w:p>
    <w:p>
      <w:pPr>
        <w:pStyle w:val="Compact"/>
        <w:numPr>
          <w:ilvl w:val="0"/>
          <w:numId w:val="1015"/>
        </w:numPr>
      </w:pPr>
      <w:r>
        <w:t xml:space="preserve">Label directly on visuals where possible</w:t>
      </w:r>
    </w:p>
    <w:p>
      <w:r>
        <w:br w:type="page"/>
      </w:r>
    </w:p>
    <w:bookmarkEnd w:id="13"/>
    <w:bookmarkEnd w:id="14"/>
    <w:bookmarkStart w:id="27" w:name="readings"/>
    <w:p>
      <w:pPr>
        <w:pStyle w:val="Heading2"/>
      </w:pPr>
      <w:r>
        <w:t xml:space="preserve">Readings</w:t>
      </w:r>
    </w:p>
    <w:bookmarkStart w:id="18" w:name="start-here"/>
    <w:p>
      <w:pPr>
        <w:pStyle w:val="Heading3"/>
      </w:pPr>
      <w:r>
        <w:t xml:space="preserve">Start here</w:t>
      </w:r>
    </w:p>
    <w:bookmarkStart w:id="17" w:name="refs-startHere"/>
    <w:bookmarkStart w:id="15" w:name="ref-kirkDataVisualisationHandbook2019"/>
    <w:p>
      <w:pPr>
        <w:pStyle w:val="Bibliography"/>
      </w:pPr>
      <w:r>
        <w:t xml:space="preserve">Kirk A.</w:t>
      </w:r>
      <w:r>
        <w:t xml:space="preserve"> </w:t>
      </w:r>
      <w:r>
        <w:rPr>
          <w:i/>
          <w:iCs/>
        </w:rPr>
        <w:t xml:space="preserve">Data Visualisation: A Handbook for Data Driven Design</w:t>
      </w:r>
      <w:r>
        <w:t xml:space="preserve">. 2nd ed., Los Angeles, CA: SAGE, 2019.</w:t>
      </w:r>
    </w:p>
    <w:bookmarkEnd w:id="15"/>
    <w:bookmarkStart w:id="16" w:name="ref-robbinsCreatingMoreEffective2005"/>
    <w:p>
      <w:pPr>
        <w:pStyle w:val="Bibliography"/>
      </w:pPr>
      <w:r>
        <w:t xml:space="preserve">Robbins NB.</w:t>
      </w:r>
      <w:r>
        <w:t xml:space="preserve"> </w:t>
      </w:r>
      <w:r>
        <w:rPr>
          <w:i/>
          <w:iCs/>
        </w:rPr>
        <w:t xml:space="preserve">Creating More Effective Graphs</w:t>
      </w:r>
      <w:r>
        <w:t xml:space="preserve">. Hoboken, NJ: Wiley-Interscience, 2005.</w:t>
      </w:r>
    </w:p>
    <w:bookmarkEnd w:id="16"/>
    <w:bookmarkEnd w:id="17"/>
    <w:bookmarkEnd w:id="18"/>
    <w:bookmarkStart w:id="26" w:name="in-depth"/>
    <w:p>
      <w:pPr>
        <w:pStyle w:val="Heading3"/>
      </w:pPr>
      <w:r>
        <w:t xml:space="preserve">In depth</w:t>
      </w:r>
    </w:p>
    <w:bookmarkStart w:id="25" w:name="refs-inDepth"/>
    <w:bookmarkStart w:id="19" w:name="ref-bertinSemiologyGraphicsDiagrams1983"/>
    <w:p>
      <w:pPr>
        <w:pStyle w:val="Bibliography"/>
      </w:pPr>
      <w:r>
        <w:t xml:space="preserve">Bertin J.</w:t>
      </w:r>
      <w:r>
        <w:t xml:space="preserve"> </w:t>
      </w:r>
      <w:r>
        <w:rPr>
          <w:i/>
          <w:iCs/>
        </w:rPr>
        <w:t xml:space="preserve">Semiology of Graphics: Diagrams, Networks, Maps</w:t>
      </w:r>
      <w:r>
        <w:t xml:space="preserve">, trans. Berg WJ. Madison, WI: The University of Wisconsin Press, 1983.</w:t>
      </w:r>
    </w:p>
    <w:bookmarkEnd w:id="19"/>
    <w:bookmarkStart w:id="20" w:name="ref-fewShowMeNumbers2012"/>
    <w:p>
      <w:pPr>
        <w:pStyle w:val="Bibliography"/>
      </w:pPr>
      <w:r>
        <w:t xml:space="preserve">Few S.</w:t>
      </w:r>
      <w:r>
        <w:t xml:space="preserve"> </w:t>
      </w:r>
      <w:r>
        <w:rPr>
          <w:i/>
          <w:iCs/>
        </w:rPr>
        <w:t xml:space="preserve">Show Me the Numbers: Designing Tables and Graphs to Enlighten</w:t>
      </w:r>
      <w:r>
        <w:t xml:space="preserve">. 2nd ed., Burlingame, CA: Analytics Press, 2012.</w:t>
      </w:r>
    </w:p>
    <w:bookmarkEnd w:id="20"/>
    <w:bookmarkStart w:id="21" w:name="ref-fewNowYouSee2021"/>
    <w:p>
      <w:pPr>
        <w:pStyle w:val="Bibliography"/>
      </w:pPr>
      <w:r>
        <w:t xml:space="preserve">Few S.</w:t>
      </w:r>
      <w:r>
        <w:t xml:space="preserve"> </w:t>
      </w:r>
      <w:r>
        <w:rPr>
          <w:i/>
          <w:iCs/>
        </w:rPr>
        <w:t xml:space="preserve">Now You See It: An Introduction to Visual Data Sensemaking</w:t>
      </w:r>
      <w:r>
        <w:t xml:space="preserve">. 2nd ed., El Dorado Hills, CA: Analytics Press, 2021.</w:t>
      </w:r>
    </w:p>
    <w:bookmarkEnd w:id="21"/>
    <w:bookmarkStart w:id="22" w:name="ref-tufteEnvisioningInformation1990"/>
    <w:p>
      <w:pPr>
        <w:pStyle w:val="Bibliography"/>
      </w:pPr>
      <w:r>
        <w:t xml:space="preserve">Tufte ER.</w:t>
      </w:r>
      <w:r>
        <w:t xml:space="preserve"> </w:t>
      </w:r>
      <w:r>
        <w:rPr>
          <w:i/>
          <w:iCs/>
        </w:rPr>
        <w:t xml:space="preserve">Envisioning Information</w:t>
      </w:r>
      <w:r>
        <w:t xml:space="preserve">. Cheshire, CT: Graphics Press, 1990.</w:t>
      </w:r>
    </w:p>
    <w:bookmarkEnd w:id="22"/>
    <w:bookmarkStart w:id="23" w:name="ref-tufteVisualExplanationsImages1997"/>
    <w:p>
      <w:pPr>
        <w:pStyle w:val="Bibliography"/>
      </w:pPr>
      <w:r>
        <w:t xml:space="preserve">Tufte ER.</w:t>
      </w:r>
      <w:r>
        <w:t xml:space="preserve"> </w:t>
      </w:r>
      <w:r>
        <w:rPr>
          <w:i/>
          <w:iCs/>
        </w:rPr>
        <w:t xml:space="preserve">Visual Explanations: Images and Quantities, Evidence and Narrative</w:t>
      </w:r>
      <w:r>
        <w:t xml:space="preserve">. 1st ed., Cheshire, CT: Graphics Press, 1997.</w:t>
      </w:r>
    </w:p>
    <w:bookmarkEnd w:id="23"/>
    <w:bookmarkStart w:id="24" w:name="ref-tufteVisualDisplayQuantitative2001"/>
    <w:p>
      <w:pPr>
        <w:pStyle w:val="Bibliography"/>
      </w:pPr>
      <w:r>
        <w:t xml:space="preserve">Tufte ER.</w:t>
      </w:r>
      <w:r>
        <w:t xml:space="preserve"> </w:t>
      </w:r>
      <w:r>
        <w:rPr>
          <w:i/>
          <w:iCs/>
        </w:rPr>
        <w:t xml:space="preserve">The Visual Display of Quantitative Information, 2nd Ed.</w:t>
      </w:r>
      <w:r>
        <w:t xml:space="preserve"> 2nd ed., Cheshire, CT: Graphics Press, 2001.</w:t>
      </w:r>
    </w:p>
    <w:bookmarkEnd w:id="24"/>
    <w:bookmarkEnd w:id="25"/>
    <w:bookmarkEnd w:id="26"/>
    <w:bookmarkEnd w:id="27"/>
    <w:bookmarkStart w:id="30" w:name="get-more-help"/>
    <w:p>
      <w:pPr>
        <w:pStyle w:val="Heading2"/>
      </w:pPr>
      <w:r>
        <w:t xml:space="preserve">Get more help</w:t>
      </w:r>
    </w:p>
    <w:p>
      <w:pPr>
        <w:numPr>
          <w:ilvl w:val="0"/>
          <w:numId w:val="1016"/>
        </w:numPr>
      </w:pPr>
      <w:r>
        <w:t xml:space="preserve">Visit</w:t>
      </w:r>
      <w:r>
        <w:t xml:space="preserve"> </w:t>
      </w:r>
      <w:hyperlink r:id="rId28">
        <w:r>
          <w:rPr>
            <w:rStyle w:val="Hyperlink"/>
          </w:rPr>
          <w:t xml:space="preserve">libraries.ou.edu/data</w:t>
        </w:r>
      </w:hyperlink>
      <w:r>
        <w:t xml:space="preserve"> </w:t>
      </w:r>
      <w:r>
        <w:t xml:space="preserve">for consultations, office hours, and more.</w:t>
      </w:r>
    </w:p>
    <w:p>
      <w:pPr>
        <w:numPr>
          <w:ilvl w:val="0"/>
          <w:numId w:val="1016"/>
        </w:numPr>
      </w:pPr>
      <w:r>
        <w:t xml:space="preserve">In-depth slide show</w:t>
      </w:r>
      <w:r>
        <w:t xml:space="preserve"> </w:t>
      </w:r>
      <w:hyperlink r:id="rId29">
        <w:r>
          <w:rPr>
            <w:rStyle w:val="Hyperlink"/>
          </w:rPr>
          <w:t xml:space="preserve">oulib-resdata.github.io/datavis</w:t>
        </w:r>
      </w:hyperlink>
    </w:p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8" Target="https://libraries.ou.edu/data" TargetMode="External" /><Relationship Type="http://schemas.openxmlformats.org/officeDocument/2006/relationships/hyperlink" Id="rId29" Target="https://oulib-resdata.github.io/datavis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8" Target="https://libraries.ou.edu/data" TargetMode="External" /><Relationship Type="http://schemas.openxmlformats.org/officeDocument/2006/relationships/hyperlink" Id="rId29" Target="https://oulib-resdata.github.io/datavis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Checklist for data-driven visualizations</dc:title>
  <dc:creator/>
  <dc:language>en</dc:language>
  <cp:keywords/>
  <dcterms:created xsi:type="dcterms:W3CDTF">2026-04-27T15:13:34Z</dcterms:created>
  <dcterms:modified xsi:type="dcterms:W3CDTF">2026-04-27T15:13:34Z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csl">
    <vt:lpwstr>https://raw.githubusercontent.com/citation-style-language/styles/refs/heads/master/oxford-journals-scimed-author-date.csl</vt:lpwstr>
  </property>
  <property fmtid="{D5CDD505-2E9C-101B-9397-08002B2CF9AE}" pid="4" name="editor">
    <vt:lpwstr>source</vt:lpwstr>
  </property>
  <property fmtid="{D5CDD505-2E9C-101B-9397-08002B2CF9AE}" pid="5" name="engines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nocite">
    <vt:lpwstr>@*</vt:lpwstr>
  </property>
  <property fmtid="{D5CDD505-2E9C-101B-9397-08002B2CF9AE}" pid="11" name="toc-title">
    <vt:lpwstr>Table of contents</vt:lpwstr>
  </property>
</Properties>
</file>