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140" w:tblpY="0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2055"/>
        <w:gridCol w:w="2220"/>
        <w:gridCol w:w="1845"/>
        <w:gridCol w:w="2595"/>
        <w:tblGridChange w:id="0">
          <w:tblGrid>
            <w:gridCol w:w="1845"/>
            <w:gridCol w:w="2055"/>
            <w:gridCol w:w="2220"/>
            <w:gridCol w:w="1845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351c75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color w:val="ffffff"/>
                <w:sz w:val="36"/>
                <w:szCs w:val="36"/>
                <w:rtl w:val="0"/>
              </w:rPr>
              <w:t xml:space="preserve">Donnée observée</w:t>
            </w:r>
          </w:p>
        </w:tc>
        <w:tc>
          <w:tcPr>
            <w:shd w:fill="351c75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color w:val="ffffff"/>
                <w:sz w:val="36"/>
                <w:szCs w:val="36"/>
                <w:rtl w:val="0"/>
              </w:rPr>
              <w:t xml:space="preserve">Valeur répétée</w:t>
            </w:r>
          </w:p>
        </w:tc>
        <w:tc>
          <w:tcPr>
            <w:shd w:fill="351c75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color w:val="ffffff"/>
                <w:sz w:val="36"/>
                <w:szCs w:val="36"/>
                <w:rtl w:val="0"/>
              </w:rPr>
              <w:t xml:space="preserve">Réalité représentée</w:t>
            </w:r>
          </w:p>
        </w:tc>
        <w:tc>
          <w:tcPr>
            <w:shd w:fill="351c75" w:val="clea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color w:val="ffffff"/>
                <w:sz w:val="36"/>
                <w:szCs w:val="36"/>
                <w:rtl w:val="0"/>
              </w:rPr>
              <w:t xml:space="preserve">Identifiant proposé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51c75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color w:val="ffffff"/>
                <w:sz w:val="36"/>
                <w:szCs w:val="36"/>
                <w:rtl w:val="0"/>
              </w:rPr>
              <w:t xml:space="preserve">Dépendance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.964843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nom-auteur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Madani(x3)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Auteur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Id-auteur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Id-auteur-&gt;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nom-auteur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nom-ville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tanger(x3),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Rabat(x2)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Ville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id-ville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id-ville-&gt;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nom-ville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nom-catégorie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Devloppement (x4)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Catégorie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id-catégorie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id-catégorie-&gt;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nom-catégorie</w:t>
            </w:r>
          </w:p>
        </w:tc>
      </w:tr>
    </w:tbl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ind w:left="720" w:hanging="360"/>
      </w:pPr>
      <w:r w:rsidDel="00000000" w:rsidR="00000000" w:rsidRPr="00000000">
        <w:rPr>
          <w:b w:val="1"/>
          <w:bCs w:val="1"/>
          <w:color w:val="1e293b"/>
          <w:sz w:val="21"/>
          <w:szCs w:val="21"/>
          <w:rtl w:val="0"/>
        </w:rPr>
        <w:t xml:space="preserve">Donnée :</w:t>
      </w:r>
      <w:r w:rsidDel="00000000" w:rsidR="00000000" w:rsidRPr="00000000">
        <w:rPr>
          <w:color w:val="1e293b"/>
          <w:sz w:val="21"/>
          <w:szCs w:val="21"/>
          <w:rtl w:val="0"/>
        </w:rPr>
        <w:t xml:space="preserve"> On part d’une donnée brute du dictionnaire (nom-ville).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ind w:left="720" w:hanging="360"/>
      </w:pPr>
      <w:r w:rsidDel="00000000" w:rsidR="00000000" w:rsidRPr="00000000">
        <w:rPr>
          <w:b w:val="1"/>
          <w:bCs w:val="1"/>
          <w:color w:val="1e293b"/>
          <w:sz w:val="21"/>
          <w:szCs w:val="21"/>
          <w:rtl w:val="0"/>
        </w:rPr>
        <w:t xml:space="preserve">Observation de Répétition :</w:t>
      </w:r>
      <w:r w:rsidDel="00000000" w:rsidR="00000000" w:rsidRPr="00000000">
        <w:rPr>
          <w:color w:val="1e293b"/>
          <w:sz w:val="21"/>
          <w:szCs w:val="21"/>
          <w:rtl w:val="0"/>
        </w:rPr>
        <w:t xml:space="preserve"> On constate que “Tanger” se répète de nombreuses fois de manière identique.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ind w:left="720" w:hanging="360"/>
      </w:pPr>
      <w:r w:rsidDel="00000000" w:rsidR="00000000" w:rsidRPr="00000000">
        <w:rPr>
          <w:b w:val="1"/>
          <w:bCs w:val="1"/>
          <w:color w:val="1e293b"/>
          <w:sz w:val="21"/>
          <w:szCs w:val="21"/>
          <w:rtl w:val="0"/>
        </w:rPr>
        <w:t xml:space="preserve">Déduction de Réalité :</w:t>
      </w:r>
      <w:r w:rsidDel="00000000" w:rsidR="00000000" w:rsidRPr="00000000">
        <w:rPr>
          <w:color w:val="1e293b"/>
          <w:sz w:val="21"/>
          <w:szCs w:val="21"/>
          <w:rtl w:val="0"/>
        </w:rPr>
        <w:t xml:space="preserve"> Cette répétition nous indique que la ville existe par elle-même indépendamment de l’auteur. C’est une </w:t>
      </w:r>
      <w:r w:rsidDel="00000000" w:rsidR="00000000" w:rsidRPr="00000000">
        <w:rPr>
          <w:b w:val="1"/>
          <w:bCs w:val="1"/>
          <w:color w:val="1e293b"/>
          <w:sz w:val="21"/>
          <w:szCs w:val="21"/>
          <w:rtl w:val="0"/>
        </w:rPr>
        <w:t xml:space="preserve">entité</w:t>
      </w:r>
      <w:r w:rsidDel="00000000" w:rsidR="00000000" w:rsidRPr="00000000">
        <w:rPr>
          <w:color w:val="1e293b"/>
          <w:sz w:val="21"/>
          <w:szCs w:val="21"/>
          <w:rtl w:val="0"/>
        </w:rPr>
        <w:t xml:space="preserve"> distincte (Ville).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ind w:left="720" w:hanging="360"/>
      </w:pPr>
      <w:r w:rsidDel="00000000" w:rsidR="00000000" w:rsidRPr="00000000">
        <w:rPr>
          <w:b w:val="1"/>
          <w:bCs w:val="1"/>
          <w:color w:val="1e293b"/>
          <w:sz w:val="21"/>
          <w:szCs w:val="21"/>
          <w:rtl w:val="0"/>
        </w:rPr>
        <w:t xml:space="preserve">Création de l’ID :</w:t>
      </w:r>
      <w:r w:rsidDel="00000000" w:rsidR="00000000" w:rsidRPr="00000000">
        <w:rPr>
          <w:color w:val="1e293b"/>
          <w:sz w:val="21"/>
          <w:szCs w:val="21"/>
          <w:rtl w:val="0"/>
        </w:rPr>
        <w:t xml:space="preserve"> Pour identifier cette nouvelle entité de manière unique, on lui crée un identifiant technique (id-ville).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ind w:left="720" w:hanging="360"/>
      </w:pPr>
      <w:r w:rsidDel="00000000" w:rsidR="00000000" w:rsidRPr="00000000">
        <w:rPr>
          <w:b w:val="1"/>
          <w:bCs w:val="1"/>
          <w:color w:val="1e293b"/>
          <w:sz w:val="21"/>
          <w:szCs w:val="21"/>
          <w:rtl w:val="0"/>
        </w:rPr>
        <w:t xml:space="preserve">Dépendance :</w:t>
      </w:r>
      <w:r w:rsidDel="00000000" w:rsidR="00000000" w:rsidRPr="00000000">
        <w:rPr>
          <w:color w:val="1e293b"/>
          <w:sz w:val="21"/>
          <w:szCs w:val="21"/>
          <w:rtl w:val="0"/>
        </w:rPr>
        <w:t xml:space="preserve"> Désormais, le nom de la ville dépend de ce nouvel identifiant. Si l’identifiant est le “2”, le nom sera “Tanger” (id-ville-&gt;nom-ville).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e293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