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20240" cy="159394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920240" cy="1593949"/>
                    </a:xfrm>
                    <a:prstGeom prst="rect"/>
                  </pic:spPr>
                </pic:pic>
              </a:graphicData>
            </a:graphic>
          </wp:inline>
        </w:drawing>
      </w:r>
    </w:p>
    <w:p>
      <w:pPr>
        <w:jc w:val="center"/>
      </w:pPr>
      <w:r>
        <w:rPr>
          <w:rFonts w:ascii="Arial" w:hAnsi="Arial"/>
          <w:b/>
          <w:i w:val="0"/>
          <w:color w:val="7A3F13"/>
          <w:sz w:val="58"/>
        </w:rPr>
        <w:t>فندق ميموزاس</w:t>
      </w:r>
    </w:p>
    <w:p>
      <w:pPr>
        <w:jc w:val="center"/>
      </w:pPr>
      <w:r>
        <w:rPr>
          <w:rFonts w:ascii="Arial" w:hAnsi="Arial"/>
          <w:b w:val="0"/>
          <w:i w:val="0"/>
          <w:color w:val="1F2937"/>
          <w:sz w:val="26"/>
        </w:rPr>
        <w:t>تقرير للمستثمرين، خطة عمل مختصرة وحجة بيع</w:t>
      </w:r>
    </w:p>
    <w:p>
      <w:pPr>
        <w:jc w:val="center"/>
      </w:pPr>
      <w:r>
        <w:rPr>
          <w:rFonts w:ascii="Arial" w:hAnsi="Arial"/>
          <w:b w:val="0"/>
          <w:i w:val="0"/>
          <w:color w:val="6B7280"/>
          <w:sz w:val="20"/>
        </w:rPr>
        <w:t>رقم 16 شارع لالة عبلة 85000 تزنيت | أصل فندقي جاهز لاستكمال التشطيبات والاستغلال</w:t>
      </w:r>
    </w:p>
    <w:p>
      <w:pPr>
        <w:jc w:val="center"/>
      </w:pPr>
      <w:r>
        <w:drawing>
          <wp:inline xmlns:a="http://schemas.openxmlformats.org/drawingml/2006/main" xmlns:pic="http://schemas.openxmlformats.org/drawingml/2006/picture">
            <wp:extent cx="6080760" cy="6080760"/>
            <wp:docPr id="2" name="Picture 2"/>
            <wp:cNvGraphicFramePr>
              <a:graphicFrameLocks noChangeAspect="1"/>
            </wp:cNvGraphicFramePr>
            <a:graphic>
              <a:graphicData uri="http://schemas.openxmlformats.org/drawingml/2006/picture">
                <pic:pic>
                  <pic:nvPicPr>
                    <pic:cNvPr id="0" name="facade.jpg"/>
                    <pic:cNvPicPr/>
                  </pic:nvPicPr>
                  <pic:blipFill>
                    <a:blip r:embed="rId10"/>
                    <a:stretch>
                      <a:fillRect/>
                    </a:stretch>
                  </pic:blipFill>
                  <pic:spPr>
                    <a:xfrm>
                      <a:off x="0" y="0"/>
                      <a:ext cx="6080760" cy="6080760"/>
                    </a:xfrm>
                    <a:prstGeom prst="rect"/>
                  </pic:spPr>
                </pic:pic>
              </a:graphicData>
            </a:graphic>
          </wp:inline>
        </w:drawing>
      </w:r>
    </w:p>
    <w:p>
      <w:pPr>
        <w:jc w:val="center"/>
      </w:pPr>
      <w:r>
        <w:rPr>
          <w:rFonts w:ascii="Arial" w:hAnsi="Arial"/>
          <w:b w:val="0"/>
          <w:i/>
          <w:color w:val="6B7280"/>
          <w:sz w:val="16"/>
        </w:rPr>
        <w:t>واجهة وهوية فندق ميموزاس</w:t>
      </w:r>
    </w:p>
    <w:tbl>
      <w:tblPr>
        <w:tblW w:type="auto" w:w="0"/>
        <w:tblLook w:firstColumn="1" w:firstRow="1" w:lastColumn="0" w:lastRow="0" w:noHBand="0" w:noVBand="1" w:val="04A0"/>
      </w:tblPr>
      <w:tblGrid>
        <w:gridCol w:w="2620"/>
        <w:gridCol w:w="2620"/>
        <w:gridCol w:w="2620"/>
        <w:gridCol w:w="2620"/>
      </w:tblGrid>
      <w:tr>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rial" w:hAnsi="Arial"/>
                <w:b/>
                <w:i w:val="0"/>
                <w:color w:val="7A3F13"/>
                <w:sz w:val="16"/>
              </w:rPr>
              <w:t>العنوان</w:t>
            </w:r>
          </w:p>
          <w:p>
            <w:pPr>
              <w:jc w:val="center"/>
            </w:pPr>
            <w:r>
              <w:rPr>
                <w:rFonts w:ascii="Arial" w:hAnsi="Arial"/>
                <w:b w:val="0"/>
                <w:i w:val="0"/>
                <w:color w:val="1F2937"/>
                <w:sz w:val="18"/>
              </w:rPr>
              <w:t>رقم 16 شارع لالة عبلة 85000 تزنيت</w:t>
            </w:r>
          </w:p>
        </w:tc>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rial" w:hAnsi="Arial"/>
                <w:b/>
                <w:i w:val="0"/>
                <w:color w:val="7A3F13"/>
                <w:sz w:val="16"/>
              </w:rPr>
              <w:t>التموقع</w:t>
            </w:r>
          </w:p>
          <w:p>
            <w:pPr>
              <w:jc w:val="center"/>
            </w:pPr>
            <w:r>
              <w:rPr>
                <w:rFonts w:ascii="Arial" w:hAnsi="Arial"/>
                <w:b w:val="0"/>
                <w:i w:val="0"/>
                <w:color w:val="1F2937"/>
                <w:sz w:val="18"/>
              </w:rPr>
              <w:t>فندق حضري + سطح + مطعم</w:t>
            </w:r>
          </w:p>
        </w:tc>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rial" w:hAnsi="Arial"/>
                <w:b/>
                <w:i w:val="0"/>
                <w:color w:val="7A3F13"/>
                <w:sz w:val="16"/>
              </w:rPr>
              <w:t>الرقمي</w:t>
            </w:r>
          </w:p>
          <w:p>
            <w:pPr>
              <w:jc w:val="center"/>
            </w:pPr>
            <w:r>
              <w:rPr>
                <w:rFonts w:ascii="Arial" w:hAnsi="Arial"/>
                <w:b w:val="0"/>
                <w:i w:val="0"/>
                <w:color w:val="1F2937"/>
                <w:sz w:val="18"/>
              </w:rPr>
              <w:t>موقع متعدد اللغات، خرائط Leaflet، معرض صور وجولة 360</w:t>
            </w:r>
          </w:p>
        </w:tc>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rial" w:hAnsi="Arial"/>
                <w:b/>
                <w:i w:val="0"/>
                <w:color w:val="7A3F13"/>
                <w:sz w:val="16"/>
              </w:rPr>
              <w:t>نقاط الاهتمام</w:t>
            </w:r>
          </w:p>
          <w:p>
            <w:pPr>
              <w:jc w:val="center"/>
            </w:pPr>
            <w:r>
              <w:rPr>
                <w:rFonts w:ascii="Arial" w:hAnsi="Arial"/>
                <w:b w:val="0"/>
                <w:i w:val="0"/>
                <w:color w:val="1F2937"/>
                <w:sz w:val="18"/>
              </w:rPr>
              <w:t>37 نقطة اهتمام مدمجة في الخريطة</w:t>
            </w:r>
          </w:p>
        </w:tc>
      </w:tr>
    </w:tbl>
    <w:p>
      <w:r>
        <w:br w:type="page"/>
      </w:r>
    </w:p>
    <w:p>
      <w:pPr>
        <w:spacing w:before="260" w:after="100"/>
        <w:jc w:val="right"/>
      </w:pPr>
      <w:r>
        <w:rPr>
          <w:rFonts w:ascii="Arial" w:hAnsi="Arial"/>
          <w:b/>
          <w:i w:val="0"/>
          <w:color w:val="7A3F13"/>
          <w:sz w:val="36"/>
        </w:rPr>
        <w:t>1. ملخص تنفيذي</w:t>
      </w:r>
    </w:p>
    <w:tbl>
      <w:tblPr>
        <w:tblW w:type="auto" w:w="0"/>
        <w:tblLook w:firstColumn="1" w:firstRow="1" w:lastColumn="0" w:lastRow="0" w:noHBand="0" w:noVBand="1" w:val="04A0"/>
      </w:tblPr>
      <w:tblGrid>
        <w:gridCol w:w="10482"/>
      </w:tblGrid>
      <w:tr>
        <w:tc>
          <w:tcPr>
            <w:tcW w:type="dxa" w:w="10482"/>
            <w:shd w:fill="F7F1E6"/>
            <w:tcBorders>
              <w:top w:val="single" w:sz="10" w:space="0" w:color="D7B56D"/>
              <w:left w:val="single" w:sz="10" w:space="0" w:color="D7B56D"/>
              <w:bottom w:val="single" w:sz="10" w:space="0" w:color="D7B56D"/>
              <w:right w:val="single" w:sz="10" w:space="0" w:color="D7B56D"/>
            </w:tcBorders>
            <w:tcMar>
              <w:top w:w="170" w:type="dxa"/>
              <w:start w:w="220" w:type="dxa"/>
              <w:bottom w:w="170" w:type="dxa"/>
              <w:end w:w="220" w:type="dxa"/>
            </w:tcMar>
          </w:tcPr>
          <w:p>
            <w:pPr>
              <w:jc w:val="right"/>
            </w:pPr>
            <w:r>
              <w:rPr>
                <w:rFonts w:ascii="Arial" w:hAnsi="Arial"/>
                <w:b/>
                <w:i w:val="0"/>
                <w:color w:val="7A3F13"/>
                <w:sz w:val="22"/>
              </w:rPr>
              <w:t>فرضية الاستثمار</w:t>
            </w:r>
          </w:p>
          <w:p>
            <w:pPr>
              <w:jc w:val="right"/>
            </w:pPr>
            <w:r>
              <w:rPr>
                <w:rFonts w:ascii="Arial" w:hAnsi="Arial"/>
                <w:b w:val="0"/>
                <w:i w:val="0"/>
                <w:color w:val="1F2937"/>
                <w:sz w:val="19"/>
              </w:rPr>
              <w:t>ميموزاس أصل فندقي في تزنيت تظهر قيمته منذ الآن: هوية تجارية، فضاءات مهيأة، سطح، مطعم، جولة 360، معرض صور، موقع متعدد اللغات وموقع حضري قريب من حركة المدينة القديمة. الفرصة أمام المشتري هي اقتناء مشروع متقدم، إتمام اللمسات الأخيرة، ثم إطلاق الاستغلال الفندقي حول الإقامة والمطعم والسطح والتجربة المحلية.</w:t>
            </w:r>
          </w:p>
        </w:tc>
      </w:tr>
    </w:tbl>
    <w:p>
      <w:pPr>
        <w:spacing w:after="100" w:line="259" w:lineRule="auto"/>
        <w:jc w:val="right"/>
      </w:pPr>
      <w:r>
        <w:rPr>
          <w:rFonts w:ascii="Arial" w:hAnsi="Arial"/>
          <w:b w:val="0"/>
          <w:i w:val="0"/>
          <w:color w:val="1F2937"/>
          <w:sz w:val="20"/>
        </w:rPr>
        <w:t>لا يتم تقديم المشروع كوعود عقارية مجردة، بل كمنصة استغلال فندقي. يستطيع المستثمر تصور المسار بسرعة: الإنهاء، التصنيف، التسويق، الافتتاح، القياس والتحسين.</w:t>
      </w:r>
    </w:p>
    <w:p>
      <w:pPr>
        <w:spacing w:before="260" w:after="100"/>
        <w:jc w:val="right"/>
      </w:pPr>
      <w:r>
        <w:rPr>
          <w:rFonts w:ascii="Arial" w:hAnsi="Arial"/>
          <w:b/>
          <w:i w:val="0"/>
          <w:color w:val="7A3F13"/>
          <w:sz w:val="36"/>
        </w:rPr>
        <w:t>2. بطاقة الأصل</w:t>
      </w:r>
    </w:p>
    <w:tbl>
      <w:tblPr>
        <w:tblW w:type="auto" w:w="0"/>
        <w:jc w:val="center"/>
        <w:tblLook w:firstColumn="1" w:firstRow="1" w:lastColumn="0" w:lastRow="0" w:noHBand="0" w:noVBand="1" w:val="04A0"/>
      </w:tblPr>
      <w:tblGrid>
        <w:gridCol w:w="5241"/>
        <w:gridCol w:w="5241"/>
      </w:tblGrid>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المعيار</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قراءة المستثمر</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الاسم التجاري</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فندق ميموزاس</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العنوان</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رقم 16 شارع لالة عبلة 85000 تزنيت</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الإحداثيات</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29.694128, -9.723413</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المفهوم</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فندق حضري مع سطح وفضاءات مطعم وإمكانية إقامة قصيرة أو سياحية.</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حالة المشروع</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أصل متقدم الإمكانيات: هوية تجارية، فضاءات ظاهرة، صور، جولة افتراضية وموقع جاهز. تبقى الأشغال والمطابقة والتصنيف رهينة بتدقيق تقني.</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رابط جولة 360</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Mimosas/Tour/index.htm</w:t>
            </w:r>
          </w:p>
        </w:tc>
      </w:tr>
    </w:tbl>
    <w:p>
      <w:pPr>
        <w:spacing w:before="260" w:after="100"/>
        <w:jc w:val="right"/>
      </w:pPr>
      <w:r>
        <w:rPr>
          <w:rFonts w:ascii="Arial" w:hAnsi="Arial"/>
          <w:b/>
          <w:i w:val="0"/>
          <w:color w:val="7A3F13"/>
          <w:sz w:val="36"/>
        </w:rPr>
        <w:t>3. السوق والوجهة</w:t>
      </w:r>
    </w:p>
    <w:p>
      <w:pPr>
        <w:spacing w:after="100" w:line="259" w:lineRule="auto"/>
        <w:jc w:val="right"/>
      </w:pPr>
      <w:r>
        <w:rPr>
          <w:rFonts w:ascii="Arial" w:hAnsi="Arial"/>
          <w:b w:val="0"/>
          <w:i w:val="0"/>
          <w:color w:val="1F2937"/>
          <w:sz w:val="20"/>
        </w:rPr>
        <w:t>يعرف المغرب دينامية سياحية قوية. تشير أرقام وزارة السياحة إلى 19.8 مليون زائر سنة 2025، بزيادة 14% مقارنة بسنة 2024، وإلى 138 مليار درهم من مداخيل السياحة سنة 2025.</w:t>
      </w:r>
    </w:p>
    <w:p>
      <w:pPr>
        <w:spacing w:after="100" w:line="259" w:lineRule="auto"/>
        <w:jc w:val="right"/>
      </w:pPr>
      <w:r>
        <w:rPr>
          <w:rFonts w:ascii="Arial" w:hAnsi="Arial"/>
          <w:b w:val="0"/>
          <w:i w:val="0"/>
          <w:color w:val="1F2937"/>
          <w:sz w:val="20"/>
        </w:rPr>
        <w:t>تزنيت تقدم عرضا مختلفا عن الوجهات المزدحمة: المدينة القديمة، الأسوار، صياغة الفضة، القرب من أكلو، وموقع هادئ ضمن سوس ماسة.</w:t>
      </w:r>
    </w:p>
    <w:p>
      <w:pPr>
        <w:pStyle w:val="ListBullet"/>
        <w:spacing w:after="60"/>
        <w:jc w:val="right"/>
      </w:pPr>
      <w:r>
        <w:rPr>
          <w:rFonts w:ascii="Arial" w:hAnsi="Arial"/>
          <w:b w:val="0"/>
          <w:i w:val="0"/>
          <w:color w:val="1F2937"/>
          <w:sz w:val="19"/>
        </w:rPr>
        <w:t>السطح يمكن أن يخلق مداخيل تتجاوز المبيت: مقهى، أكل خفيف، أمسيات، مناسبات خاصة ولقاءات محلية.</w:t>
      </w:r>
    </w:p>
    <w:p>
      <w:pPr>
        <w:spacing w:before="260" w:after="100"/>
        <w:jc w:val="right"/>
      </w:pPr>
      <w:r>
        <w:rPr>
          <w:rFonts w:ascii="Arial" w:hAnsi="Arial"/>
          <w:b/>
          <w:i w:val="0"/>
          <w:color w:val="7A3F13"/>
          <w:sz w:val="36"/>
        </w:rPr>
        <w:t>4. نقاط قوة ميموزاس</w:t>
      </w:r>
    </w:p>
    <w:tbl>
      <w:tblPr>
        <w:tblW w:type="auto" w:w="0"/>
        <w:jc w:val="center"/>
        <w:tblLook w:firstColumn="1" w:firstRow="1" w:lastColumn="0" w:lastRow="0" w:noHBand="0" w:noVBand="1" w:val="04A0"/>
      </w:tblPr>
      <w:tblGrid>
        <w:gridCol w:w="3494"/>
        <w:gridCol w:w="3494"/>
        <w:gridCol w:w="3494"/>
      </w:tblGrid>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نقطة قوة</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الأثر التجاري</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الإجراء المقترح</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السطح</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تمييز قوي ومداخيل خارج الإقامة.</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إطلاق عروض الغروب، الفطور، المقهى، الأكل الخفيف والمناسبات الخاصة.</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المطعم / الكاونتر</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مداخيل إضافية وتجربة أفضل للضيف.</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اعتماد قائمة قصيرة ومحلية ومربحة وسهلة التنفيذ.</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جولة 360</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تقلل تردد المستثمر والزبون.</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استعمالها في البيع وGoogle Business والموقع والإعلانات.</w:t>
            </w:r>
          </w:p>
        </w:tc>
      </w:tr>
    </w:tbl>
    <w:p>
      <w:pPr>
        <w:spacing w:before="260" w:after="100"/>
        <w:jc w:val="right"/>
      </w:pPr>
      <w:r>
        <w:rPr>
          <w:rFonts w:ascii="Arial" w:hAnsi="Arial"/>
          <w:b/>
          <w:i w:val="0"/>
          <w:color w:val="7A3F13"/>
          <w:sz w:val="36"/>
        </w:rPr>
        <w:t>5. الملف البصري</w:t>
      </w:r>
    </w:p>
    <w:p>
      <w:pPr>
        <w:spacing w:after="100" w:line="259" w:lineRule="auto"/>
        <w:jc w:val="right"/>
      </w:pPr>
      <w:r>
        <w:rPr>
          <w:rFonts w:ascii="Arial" w:hAnsi="Arial"/>
          <w:b w:val="0"/>
          <w:i w:val="0"/>
          <w:color w:val="1F2937"/>
          <w:sz w:val="20"/>
        </w:rPr>
        <w:t>تظهر الصور أصلا واضحا منذ الآن: الهوية، الواجهة، الاستقبال، الغرف، السطح والمطعم.</w:t>
      </w:r>
    </w:p>
    <w:tbl>
      <w:tblPr>
        <w:tblW w:type="auto" w:w="0"/>
        <w:tblLook w:firstColumn="1" w:firstRow="1" w:lastColumn="0" w:lastRow="0" w:noHBand="0" w:noVBand="1" w:val="04A0"/>
      </w:tblPr>
      <w:tblGrid>
        <w:gridCol w:w="5241"/>
        <w:gridCol w:w="5241"/>
      </w:tblGrid>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2788920"/>
                  <wp:docPr id="3" name="Picture 3"/>
                  <wp:cNvGraphicFramePr>
                    <a:graphicFrameLocks noChangeAspect="1"/>
                  </wp:cNvGraphicFramePr>
                  <a:graphic>
                    <a:graphicData uri="http://schemas.openxmlformats.org/drawingml/2006/picture">
                      <pic:pic>
                        <pic:nvPicPr>
                          <pic:cNvPr id="0" name="facade.jpg"/>
                          <pic:cNvPicPr/>
                        </pic:nvPicPr>
                        <pic:blipFill>
                          <a:blip r:embed="rId10"/>
                          <a:stretch>
                            <a:fillRect/>
                          </a:stretch>
                        </pic:blipFill>
                        <pic:spPr>
                          <a:xfrm>
                            <a:off x="0" y="0"/>
                            <a:ext cx="2788920" cy="2788920"/>
                          </a:xfrm>
                          <a:prstGeom prst="rect"/>
                        </pic:spPr>
                      </pic:pic>
                    </a:graphicData>
                  </a:graphic>
                </wp:inline>
              </w:drawing>
            </w:r>
          </w:p>
          <w:p>
            <w:pPr>
              <w:jc w:val="center"/>
            </w:pPr>
            <w:r>
              <w:rPr>
                <w:rFonts w:ascii="Arial" w:hAnsi="Arial"/>
                <w:b w:val="0"/>
                <w:i/>
                <w:color w:val="6B7280"/>
                <w:sz w:val="16"/>
              </w:rPr>
              <w:t>الواجهة</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21574"/>
                  <wp:docPr id="4" name="Picture 4"/>
                  <wp:cNvGraphicFramePr>
                    <a:graphicFrameLocks noChangeAspect="1"/>
                  </wp:cNvGraphicFramePr>
                  <a:graphic>
                    <a:graphicData uri="http://schemas.openxmlformats.org/drawingml/2006/picture">
                      <pic:pic>
                        <pic:nvPicPr>
                          <pic:cNvPr id="0" name="entree.jpg"/>
                          <pic:cNvPicPr/>
                        </pic:nvPicPr>
                        <pic:blipFill>
                          <a:blip r:embed="rId11"/>
                          <a:stretch>
                            <a:fillRect/>
                          </a:stretch>
                        </pic:blipFill>
                        <pic:spPr>
                          <a:xfrm>
                            <a:off x="0" y="0"/>
                            <a:ext cx="2788920" cy="1521574"/>
                          </a:xfrm>
                          <a:prstGeom prst="rect"/>
                        </pic:spPr>
                      </pic:pic>
                    </a:graphicData>
                  </a:graphic>
                </wp:inline>
              </w:drawing>
            </w:r>
          </w:p>
          <w:p>
            <w:pPr>
              <w:jc w:val="center"/>
            </w:pPr>
            <w:r>
              <w:rPr>
                <w:rFonts w:ascii="Arial" w:hAnsi="Arial"/>
                <w:b w:val="0"/>
                <w:i/>
                <w:color w:val="6B7280"/>
                <w:sz w:val="16"/>
              </w:rPr>
              <w:t>المدخل</w:t>
            </w:r>
          </w:p>
        </w:tc>
      </w:tr>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30369"/>
                  <wp:docPr id="5" name="Picture 5"/>
                  <wp:cNvGraphicFramePr>
                    <a:graphicFrameLocks noChangeAspect="1"/>
                  </wp:cNvGraphicFramePr>
                  <a:graphic>
                    <a:graphicData uri="http://schemas.openxmlformats.org/drawingml/2006/picture">
                      <pic:pic>
                        <pic:nvPicPr>
                          <pic:cNvPr id="0" name="reception.jpg"/>
                          <pic:cNvPicPr/>
                        </pic:nvPicPr>
                        <pic:blipFill>
                          <a:blip r:embed="rId12"/>
                          <a:stretch>
                            <a:fillRect/>
                          </a:stretch>
                        </pic:blipFill>
                        <pic:spPr>
                          <a:xfrm>
                            <a:off x="0" y="0"/>
                            <a:ext cx="2788920" cy="1530369"/>
                          </a:xfrm>
                          <a:prstGeom prst="rect"/>
                        </pic:spPr>
                      </pic:pic>
                    </a:graphicData>
                  </a:graphic>
                </wp:inline>
              </w:drawing>
            </w:r>
          </w:p>
          <w:p>
            <w:pPr>
              <w:jc w:val="center"/>
            </w:pPr>
            <w:r>
              <w:rPr>
                <w:rFonts w:ascii="Arial" w:hAnsi="Arial"/>
                <w:b w:val="0"/>
                <w:i/>
                <w:color w:val="6B7280"/>
                <w:sz w:val="16"/>
              </w:rPr>
              <w:t>الاستقبال</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436294"/>
                  <wp:docPr id="6" name="Picture 6"/>
                  <wp:cNvGraphicFramePr>
                    <a:graphicFrameLocks noChangeAspect="1"/>
                  </wp:cNvGraphicFramePr>
                  <a:graphic>
                    <a:graphicData uri="http://schemas.openxmlformats.org/drawingml/2006/picture">
                      <pic:pic>
                        <pic:nvPicPr>
                          <pic:cNvPr id="0" name="chambre.jpg"/>
                          <pic:cNvPicPr/>
                        </pic:nvPicPr>
                        <pic:blipFill>
                          <a:blip r:embed="rId13"/>
                          <a:stretch>
                            <a:fillRect/>
                          </a:stretch>
                        </pic:blipFill>
                        <pic:spPr>
                          <a:xfrm>
                            <a:off x="0" y="0"/>
                            <a:ext cx="2788920" cy="1436294"/>
                          </a:xfrm>
                          <a:prstGeom prst="rect"/>
                        </pic:spPr>
                      </pic:pic>
                    </a:graphicData>
                  </a:graphic>
                </wp:inline>
              </w:drawing>
            </w:r>
          </w:p>
          <w:p>
            <w:pPr>
              <w:jc w:val="center"/>
            </w:pPr>
            <w:r>
              <w:rPr>
                <w:rFonts w:ascii="Arial" w:hAnsi="Arial"/>
                <w:b w:val="0"/>
                <w:i/>
                <w:color w:val="6B7280"/>
                <w:sz w:val="16"/>
              </w:rPr>
              <w:t>الغرفة</w:t>
            </w:r>
          </w:p>
        </w:tc>
      </w:tr>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35202"/>
                  <wp:docPr id="7" name="Picture 7"/>
                  <wp:cNvGraphicFramePr>
                    <a:graphicFrameLocks noChangeAspect="1"/>
                  </wp:cNvGraphicFramePr>
                  <a:graphic>
                    <a:graphicData uri="http://schemas.openxmlformats.org/drawingml/2006/picture">
                      <pic:pic>
                        <pic:nvPicPr>
                          <pic:cNvPr id="0" name="couloir.jpg"/>
                          <pic:cNvPicPr/>
                        </pic:nvPicPr>
                        <pic:blipFill>
                          <a:blip r:embed="rId14"/>
                          <a:stretch>
                            <a:fillRect/>
                          </a:stretch>
                        </pic:blipFill>
                        <pic:spPr>
                          <a:xfrm>
                            <a:off x="0" y="0"/>
                            <a:ext cx="2788920" cy="1535202"/>
                          </a:xfrm>
                          <a:prstGeom prst="rect"/>
                        </pic:spPr>
                      </pic:pic>
                    </a:graphicData>
                  </a:graphic>
                </wp:inline>
              </w:drawing>
            </w:r>
          </w:p>
          <w:p>
            <w:pPr>
              <w:jc w:val="center"/>
            </w:pPr>
            <w:r>
              <w:rPr>
                <w:rFonts w:ascii="Arial" w:hAnsi="Arial"/>
                <w:b w:val="0"/>
                <w:i/>
                <w:color w:val="6B7280"/>
                <w:sz w:val="16"/>
              </w:rPr>
              <w:t>الممر</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47544"/>
                  <wp:docPr id="8" name="Picture 8"/>
                  <wp:cNvGraphicFramePr>
                    <a:graphicFrameLocks noChangeAspect="1"/>
                  </wp:cNvGraphicFramePr>
                  <a:graphic>
                    <a:graphicData uri="http://schemas.openxmlformats.org/drawingml/2006/picture">
                      <pic:pic>
                        <pic:nvPicPr>
                          <pic:cNvPr id="0" name="sdb.jpg"/>
                          <pic:cNvPicPr/>
                        </pic:nvPicPr>
                        <pic:blipFill>
                          <a:blip r:embed="rId15"/>
                          <a:stretch>
                            <a:fillRect/>
                          </a:stretch>
                        </pic:blipFill>
                        <pic:spPr>
                          <a:xfrm>
                            <a:off x="0" y="0"/>
                            <a:ext cx="2788920" cy="1547544"/>
                          </a:xfrm>
                          <a:prstGeom prst="rect"/>
                        </pic:spPr>
                      </pic:pic>
                    </a:graphicData>
                  </a:graphic>
                </wp:inline>
              </w:drawing>
            </w:r>
          </w:p>
          <w:p>
            <w:pPr>
              <w:jc w:val="center"/>
            </w:pPr>
            <w:r>
              <w:rPr>
                <w:rFonts w:ascii="Arial" w:hAnsi="Arial"/>
                <w:b w:val="0"/>
                <w:i/>
                <w:color w:val="6B7280"/>
                <w:sz w:val="16"/>
              </w:rPr>
              <w:t>الحمام</w:t>
            </w:r>
          </w:p>
        </w:tc>
      </w:tr>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24091"/>
                  <wp:docPr id="9" name="Picture 9"/>
                  <wp:cNvGraphicFramePr>
                    <a:graphicFrameLocks noChangeAspect="1"/>
                  </wp:cNvGraphicFramePr>
                  <a:graphic>
                    <a:graphicData uri="http://schemas.openxmlformats.org/drawingml/2006/picture">
                      <pic:pic>
                        <pic:nvPicPr>
                          <pic:cNvPr id="0" name="rooftop.jpg"/>
                          <pic:cNvPicPr/>
                        </pic:nvPicPr>
                        <pic:blipFill>
                          <a:blip r:embed="rId16"/>
                          <a:stretch>
                            <a:fillRect/>
                          </a:stretch>
                        </pic:blipFill>
                        <pic:spPr>
                          <a:xfrm>
                            <a:off x="0" y="0"/>
                            <a:ext cx="2788920" cy="1524091"/>
                          </a:xfrm>
                          <a:prstGeom prst="rect"/>
                        </pic:spPr>
                      </pic:pic>
                    </a:graphicData>
                  </a:graphic>
                </wp:inline>
              </w:drawing>
            </w:r>
          </w:p>
          <w:p>
            <w:pPr>
              <w:jc w:val="center"/>
            </w:pPr>
            <w:r>
              <w:rPr>
                <w:rFonts w:ascii="Arial" w:hAnsi="Arial"/>
                <w:b w:val="0"/>
                <w:i/>
                <w:color w:val="6B7280"/>
                <w:sz w:val="16"/>
              </w:rPr>
              <w:t>السطح</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43239"/>
                  <wp:docPr id="10" name="Picture 10"/>
                  <wp:cNvGraphicFramePr>
                    <a:graphicFrameLocks noChangeAspect="1"/>
                  </wp:cNvGraphicFramePr>
                  <a:graphic>
                    <a:graphicData uri="http://schemas.openxmlformats.org/drawingml/2006/picture">
                      <pic:pic>
                        <pic:nvPicPr>
                          <pic:cNvPr id="0" name="restaurant.jpg"/>
                          <pic:cNvPicPr/>
                        </pic:nvPicPr>
                        <pic:blipFill>
                          <a:blip r:embed="rId17"/>
                          <a:stretch>
                            <a:fillRect/>
                          </a:stretch>
                        </pic:blipFill>
                        <pic:spPr>
                          <a:xfrm>
                            <a:off x="0" y="0"/>
                            <a:ext cx="2788920" cy="1543239"/>
                          </a:xfrm>
                          <a:prstGeom prst="rect"/>
                        </pic:spPr>
                      </pic:pic>
                    </a:graphicData>
                  </a:graphic>
                </wp:inline>
              </w:drawing>
            </w:r>
          </w:p>
          <w:p>
            <w:pPr>
              <w:jc w:val="center"/>
            </w:pPr>
            <w:r>
              <w:rPr>
                <w:rFonts w:ascii="Arial" w:hAnsi="Arial"/>
                <w:b w:val="0"/>
                <w:i/>
                <w:color w:val="6B7280"/>
                <w:sz w:val="16"/>
              </w:rPr>
              <w:t>المطعم</w:t>
            </w:r>
          </w:p>
        </w:tc>
      </w:tr>
    </w:tbl>
    <w:p>
      <w:pPr>
        <w:spacing w:before="260" w:after="100"/>
        <w:jc w:val="right"/>
      </w:pPr>
      <w:r>
        <w:rPr>
          <w:rFonts w:ascii="Arial" w:hAnsi="Arial"/>
          <w:b/>
          <w:i w:val="0"/>
          <w:color w:val="7A3F13"/>
          <w:sz w:val="36"/>
        </w:rPr>
        <w:t>6. خطة عمل مختصرة</w:t>
      </w:r>
    </w:p>
    <w:tbl>
      <w:tblPr>
        <w:tblW w:type="auto" w:w="0"/>
        <w:tblLook w:firstColumn="1" w:firstRow="1" w:lastColumn="0" w:lastRow="0" w:noHBand="0" w:noVBand="1" w:val="04A0"/>
      </w:tblPr>
      <w:tblGrid>
        <w:gridCol w:w="10482"/>
      </w:tblGrid>
      <w:tr>
        <w:tc>
          <w:tcPr>
            <w:tcW w:type="dxa" w:w="10482"/>
            <w:shd w:fill="F7F1E6"/>
            <w:tcBorders>
              <w:top w:val="single" w:sz="10" w:space="0" w:color="D7B56D"/>
              <w:left w:val="single" w:sz="10" w:space="0" w:color="D7B56D"/>
              <w:bottom w:val="single" w:sz="10" w:space="0" w:color="D7B56D"/>
              <w:right w:val="single" w:sz="10" w:space="0" w:color="D7B56D"/>
            </w:tcBorders>
            <w:tcMar>
              <w:top w:w="170" w:type="dxa"/>
              <w:start w:w="220" w:type="dxa"/>
              <w:bottom w:w="170" w:type="dxa"/>
              <w:end w:w="220" w:type="dxa"/>
            </w:tcMar>
          </w:tcPr>
          <w:p>
            <w:pPr>
              <w:jc w:val="right"/>
            </w:pPr>
            <w:r>
              <w:rPr>
                <w:rFonts w:ascii="Arial" w:hAnsi="Arial"/>
                <w:b/>
                <w:i w:val="0"/>
                <w:color w:val="7A3F13"/>
                <w:sz w:val="22"/>
              </w:rPr>
              <w:t>مهم</w:t>
            </w:r>
          </w:p>
          <w:p>
            <w:pPr>
              <w:jc w:val="right"/>
            </w:pPr>
            <w:r>
              <w:rPr>
                <w:rFonts w:ascii="Arial" w:hAnsi="Arial"/>
                <w:b w:val="0"/>
                <w:i w:val="0"/>
                <w:color w:val="1F2937"/>
                <w:sz w:val="19"/>
              </w:rPr>
              <w:t>يجب تثبيت الأرقام الدقيقة بعد التدقيق: السعر، عدد الغرف، الكلفة المتبقية، الرخص وسياسة الأسعار.</w:t>
            </w:r>
          </w:p>
        </w:tc>
      </w:tr>
    </w:tbl>
    <w:tbl>
      <w:tblPr>
        <w:tblW w:type="auto" w:w="0"/>
        <w:jc w:val="center"/>
        <w:tblLook w:firstColumn="1" w:firstRow="1" w:lastColumn="0" w:lastRow="0" w:noHBand="0" w:noVBand="1" w:val="04A0"/>
      </w:tblPr>
      <w:tblGrid>
        <w:gridCol w:w="3494"/>
        <w:gridCol w:w="3494"/>
        <w:gridCol w:w="3494"/>
      </w:tblGrid>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المحور</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فرضية التشغيل</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المؤشر</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الإقامة</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بيع مباشر + منصات + زبائن محليون ومغاربة العالم ومسافرون.</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الإشغال، السعر، RevPAR</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السطح</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مقهى، فطور متأخر، غروب، أكل خفيف، مناسبات.</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متوسط الفاتورة، الزبائن، الهامش</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الرقمي</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موقع، Google Business، واتساب، جولة 360، SEO محلي.</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الزيارات، الطلبات، التحويل</w:t>
            </w:r>
          </w:p>
        </w:tc>
      </w:tr>
    </w:tbl>
    <w:p>
      <w:pPr>
        <w:spacing w:before="260" w:after="100"/>
        <w:jc w:val="right"/>
      </w:pPr>
      <w:r>
        <w:rPr>
          <w:rFonts w:ascii="Arial" w:hAnsi="Arial"/>
          <w:b/>
          <w:i w:val="0"/>
          <w:color w:val="7A3F13"/>
          <w:sz w:val="36"/>
        </w:rPr>
        <w:t>7. خطة استلام خلال 90 يوما</w:t>
      </w:r>
    </w:p>
    <w:tbl>
      <w:tblPr>
        <w:tblW w:type="auto" w:w="0"/>
        <w:jc w:val="center"/>
        <w:tblLook w:firstColumn="1" w:firstRow="1" w:lastColumn="0" w:lastRow="0" w:noHBand="0" w:noVBand="1" w:val="04A0"/>
      </w:tblPr>
      <w:tblGrid>
        <w:gridCol w:w="3494"/>
        <w:gridCol w:w="3494"/>
        <w:gridCol w:w="3494"/>
      </w:tblGrid>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المرحلة</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الهدف</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الإجراءات</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الأيام 1-15</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التدقيق والتأمين</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تدقيق تقني وقانوني ومطابقة وسلامة ورخص.</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الأيام 16-45</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التشطيبات</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الغرف، الإنارة، السباكة، السطح، المطبخ، الاستقبال.</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الأيام 46-90</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التسويق والافتتاح التجريبي</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صور نهائية، منصات، Google Business، الموقع، الآراء.</w:t>
            </w:r>
          </w:p>
        </w:tc>
      </w:tr>
    </w:tbl>
    <w:p>
      <w:pPr>
        <w:spacing w:before="260" w:after="100"/>
        <w:jc w:val="right"/>
      </w:pPr>
      <w:r>
        <w:rPr>
          <w:rFonts w:ascii="Arial" w:hAnsi="Arial"/>
          <w:b/>
          <w:i w:val="0"/>
          <w:color w:val="7A3F13"/>
          <w:sz w:val="36"/>
        </w:rPr>
        <w:t>8. حجة البيع</w:t>
      </w:r>
    </w:p>
    <w:tbl>
      <w:tblPr>
        <w:tblW w:type="auto" w:w="0"/>
        <w:tblLook w:firstColumn="1" w:firstRow="1" w:lastColumn="0" w:lastRow="0" w:noHBand="0" w:noVBand="1" w:val="04A0"/>
      </w:tblPr>
      <w:tblGrid>
        <w:gridCol w:w="10482"/>
      </w:tblGrid>
      <w:tr>
        <w:tc>
          <w:tcPr>
            <w:tcW w:type="dxa" w:w="10482"/>
            <w:shd w:fill="F7F1E6"/>
            <w:tcBorders>
              <w:top w:val="single" w:sz="10" w:space="0" w:color="D7B56D"/>
              <w:left w:val="single" w:sz="10" w:space="0" w:color="D7B56D"/>
              <w:bottom w:val="single" w:sz="10" w:space="0" w:color="D7B56D"/>
              <w:right w:val="single" w:sz="10" w:space="0" w:color="D7B56D"/>
            </w:tcBorders>
            <w:tcMar>
              <w:top w:w="170" w:type="dxa"/>
              <w:start w:w="220" w:type="dxa"/>
              <w:bottom w:w="170" w:type="dxa"/>
              <w:end w:w="220" w:type="dxa"/>
            </w:tcMar>
          </w:tcPr>
          <w:p>
            <w:pPr>
              <w:jc w:val="right"/>
            </w:pPr>
            <w:r>
              <w:rPr>
                <w:rFonts w:ascii="Arial" w:hAnsi="Arial"/>
                <w:b/>
                <w:i w:val="0"/>
                <w:color w:val="7A3F13"/>
                <w:sz w:val="22"/>
              </w:rPr>
              <w:t>العرض المختصر</w:t>
            </w:r>
          </w:p>
          <w:p>
            <w:pPr>
              <w:jc w:val="right"/>
            </w:pPr>
            <w:r>
              <w:rPr>
                <w:rFonts w:ascii="Arial" w:hAnsi="Arial"/>
                <w:b w:val="0"/>
                <w:i w:val="0"/>
                <w:color w:val="1F2937"/>
                <w:sz w:val="19"/>
              </w:rPr>
              <w:t>فندق ميموزاس فرصة لاقتناء أصل فندقي واعد في تزنيت: مشروع معروف الهوية، يضم سطحا، فضاءات مطعم، هوية بصرية، موقعا متعدد اللغات، جولة افتراضية 360 وسردا سياحيا محليا. المشتري لا يبدأ من الصفر، بل يستلم قاعدة متقدمة، يكمل الأشغال الأخيرة، ينظم الاستغلال ويستفيد من قيمة فندق مستقل في مدينة تراثية بين المدينة القديمة والأطلس الصغير وساحل أكلو.</w:t>
            </w:r>
          </w:p>
        </w:tc>
      </w:tr>
    </w:tbl>
    <w:p>
      <w:pPr>
        <w:pStyle w:val="ListBullet"/>
        <w:spacing w:after="60"/>
        <w:jc w:val="right"/>
      </w:pPr>
      <w:r>
        <w:rPr>
          <w:rFonts w:ascii="Arial" w:hAnsi="Arial"/>
          <w:b w:val="0"/>
          <w:i w:val="0"/>
          <w:color w:val="1F2937"/>
          <w:sz w:val="19"/>
        </w:rPr>
        <w:t>أصل ملموس: الصور والفضاءات والهوية موجودة وواضحة.</w:t>
      </w:r>
    </w:p>
    <w:p>
      <w:pPr>
        <w:pStyle w:val="ListBullet"/>
        <w:spacing w:after="60"/>
        <w:jc w:val="right"/>
      </w:pPr>
      <w:r>
        <w:rPr>
          <w:rFonts w:ascii="Arial" w:hAnsi="Arial"/>
          <w:b w:val="0"/>
          <w:i w:val="0"/>
          <w:color w:val="1F2937"/>
          <w:sz w:val="19"/>
        </w:rPr>
        <w:t>إمكانيات استغلال متعددة: غرف، سطح، مطعم، مناسبات وتجارب محلية.</w:t>
      </w:r>
    </w:p>
    <w:p>
      <w:pPr>
        <w:pStyle w:val="ListBullet"/>
        <w:spacing w:after="60"/>
        <w:jc w:val="right"/>
      </w:pPr>
      <w:r>
        <w:rPr>
          <w:rFonts w:ascii="Arial" w:hAnsi="Arial"/>
          <w:b w:val="0"/>
          <w:i w:val="0"/>
          <w:color w:val="1F2937"/>
          <w:sz w:val="19"/>
        </w:rPr>
        <w:t>أدوات تجارية جاهزة: موقع متعدد اللغات، خرائط، نقاط اهتمام، معرض صور وجولة 360.</w:t>
      </w:r>
    </w:p>
    <w:p>
      <w:pPr>
        <w:spacing w:before="260" w:after="100"/>
        <w:jc w:val="right"/>
      </w:pPr>
      <w:r>
        <w:rPr>
          <w:rFonts w:ascii="Arial" w:hAnsi="Arial"/>
          <w:b/>
          <w:i w:val="0"/>
          <w:color w:val="7A3F13"/>
          <w:sz w:val="36"/>
        </w:rPr>
        <w:t>9. نقاط تحقق للمشتري</w:t>
      </w:r>
    </w:p>
    <w:p>
      <w:pPr>
        <w:pStyle w:val="ListBullet"/>
        <w:spacing w:after="60"/>
        <w:jc w:val="right"/>
      </w:pPr>
      <w:r>
        <w:rPr>
          <w:rFonts w:ascii="Arial" w:hAnsi="Arial"/>
          <w:b w:val="0"/>
          <w:i w:val="0"/>
          <w:color w:val="1F2937"/>
          <w:sz w:val="19"/>
        </w:rPr>
        <w:t>تأكيد عدد الغرف القابلة للاستغلال والمساحات وطاقة السطح والمطعم.</w:t>
      </w:r>
    </w:p>
    <w:p>
      <w:pPr>
        <w:pStyle w:val="ListBullet"/>
        <w:spacing w:after="60"/>
        <w:jc w:val="right"/>
      </w:pPr>
      <w:r>
        <w:rPr>
          <w:rFonts w:ascii="Arial" w:hAnsi="Arial"/>
          <w:b w:val="0"/>
          <w:i w:val="0"/>
          <w:color w:val="1F2937"/>
          <w:sz w:val="19"/>
        </w:rPr>
        <w:t>تحديد كلفة الأشغال المتبقية: السلامة، السباكة، الكهرباء، الأثاث، المطبخ، اللافتات، الولوجيات والتصنيف.</w:t>
      </w:r>
    </w:p>
    <w:p>
      <w:pPr>
        <w:pStyle w:val="ListBullet"/>
        <w:spacing w:after="60"/>
        <w:jc w:val="right"/>
      </w:pPr>
      <w:r>
        <w:rPr>
          <w:rFonts w:ascii="Arial" w:hAnsi="Arial"/>
          <w:b w:val="0"/>
          <w:i w:val="0"/>
          <w:color w:val="1F2937"/>
          <w:sz w:val="19"/>
        </w:rPr>
        <w:t>التحقق من الرخص، المطابقة الفندقية، التأمين، الوضع الضريبي والقانوني.</w:t>
      </w:r>
    </w:p>
    <w:p>
      <w:pPr>
        <w:spacing w:before="260" w:after="100"/>
        <w:jc w:val="right"/>
      </w:pPr>
      <w:r>
        <w:rPr>
          <w:rFonts w:ascii="Arial" w:hAnsi="Arial"/>
          <w:b/>
          <w:i w:val="0"/>
          <w:color w:val="7A3F13"/>
          <w:sz w:val="36"/>
        </w:rPr>
        <w:t>10. خلاصة</w:t>
      </w:r>
    </w:p>
    <w:p>
      <w:pPr>
        <w:spacing w:after="100" w:line="259" w:lineRule="auto"/>
        <w:jc w:val="right"/>
      </w:pPr>
      <w:r>
        <w:rPr>
          <w:rFonts w:ascii="Arial" w:hAnsi="Arial"/>
          <w:b w:val="0"/>
          <w:i w:val="0"/>
          <w:color w:val="1F2937"/>
          <w:sz w:val="20"/>
        </w:rPr>
        <w:t>قيمة ميموزاس تكمن في تحويل مشروع متقدم إلى أصل فندقي مستغل. المشتري المثالي لا يقتني الجدران والتشطيبات فقط، بل يقتني عنوانا، علامة، فضاءات واعدة، سطحا مميزا، قاعدة رقمية وحكاية سياحية محلية قابلة للتطوير.</w:t>
      </w:r>
    </w:p>
    <w:p>
      <w:pPr>
        <w:spacing w:before="260" w:after="100"/>
        <w:jc w:val="right"/>
      </w:pPr>
      <w:r>
        <w:rPr>
          <w:rFonts w:ascii="Arial" w:hAnsi="Arial"/>
          <w:b/>
          <w:i w:val="0"/>
          <w:color w:val="7A3F13"/>
          <w:sz w:val="36"/>
        </w:rPr>
        <w:t>المصادر</w:t>
      </w:r>
    </w:p>
    <w:p>
      <w:pPr>
        <w:pStyle w:val="ListBullet"/>
        <w:spacing w:after="60"/>
        <w:jc w:val="right"/>
      </w:pPr>
      <w:r>
        <w:rPr>
          <w:rFonts w:ascii="Aptos" w:hAnsi="Aptos"/>
          <w:b w:val="0"/>
          <w:i w:val="0"/>
          <w:color w:val="1F2937"/>
          <w:sz w:val="19"/>
        </w:rPr>
        <w:t>Ministère du Tourisme du Maroc - chiffres clés 2025</w:t>
      </w:r>
    </w:p>
    <w:p>
      <w:pPr>
        <w:pStyle w:val="ListBullet"/>
        <w:spacing w:after="60"/>
        <w:jc w:val="right"/>
      </w:pPr>
      <w:r>
        <w:rPr>
          <w:rFonts w:ascii="Aptos" w:hAnsi="Aptos"/>
          <w:b w:val="0"/>
          <w:i w:val="0"/>
          <w:color w:val="1F2937"/>
          <w:sz w:val="19"/>
        </w:rPr>
        <w:t>Visit Agadir / Souss Massa - Tiznit et Aglou</w:t>
      </w:r>
    </w:p>
    <w:p>
      <w:pPr>
        <w:pStyle w:val="ListBullet"/>
        <w:spacing w:after="60"/>
        <w:jc w:val="right"/>
      </w:pPr>
      <w:r>
        <w:rPr>
          <w:rFonts w:ascii="Aptos" w:hAnsi="Aptos"/>
          <w:b w:val="0"/>
          <w:i w:val="0"/>
          <w:color w:val="1F2937"/>
          <w:sz w:val="19"/>
        </w:rPr>
        <w:t>Données internes Mimosas - galerie, site, visite 360, data/projects.json</w:t>
      </w:r>
    </w:p>
    <w:sectPr w:rsidR="00FC693F" w:rsidRPr="0006063C" w:rsidSect="00034616">
      <w:pgSz w:w="12240" w:h="15840"/>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فندق ميموزاس</dc:title>
  <dc:subject>تقرير للمستثمرين، خطة عمل مختصرة وحجة بيع</dc:subject>
  <dc:creator>Hotel Mimosas</dc:creator>
  <cp:keywords/>
  <dc:description>generated by python-docx</dc:description>
  <cp:lastModifiedBy/>
  <cp:revision>1</cp:revision>
  <dcterms:created xsi:type="dcterms:W3CDTF">2013-12-23T23:15:00Z</dcterms:created>
  <dcterms:modified xsi:type="dcterms:W3CDTF">2013-12-23T23:15:00Z</dcterms:modified>
  <cp:category/>
</cp:coreProperties>
</file>