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920240" cy="1593949"/>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920240" cy="1593949"/>
                    </a:xfrm>
                    <a:prstGeom prst="rect"/>
                  </pic:spPr>
                </pic:pic>
              </a:graphicData>
            </a:graphic>
          </wp:inline>
        </w:drawing>
      </w:r>
    </w:p>
    <w:p>
      <w:pPr>
        <w:jc w:val="center"/>
      </w:pPr>
      <w:r>
        <w:rPr>
          <w:rFonts w:ascii="Aptos" w:hAnsi="Aptos"/>
          <w:b/>
          <w:i w:val="0"/>
          <w:color w:val="7A3F13"/>
          <w:sz w:val="58"/>
        </w:rPr>
        <w:t>Hôtel Mimosas</w:t>
      </w:r>
    </w:p>
    <w:p>
      <w:pPr>
        <w:jc w:val="center"/>
      </w:pPr>
      <w:r>
        <w:rPr>
          <w:rFonts w:ascii="Aptos" w:hAnsi="Aptos"/>
          <w:b w:val="0"/>
          <w:i w:val="0"/>
          <w:color w:val="1F2937"/>
          <w:sz w:val="26"/>
        </w:rPr>
        <w:t>Rapport investisseur, business plan synthétique et argumentaire de cession</w:t>
      </w:r>
    </w:p>
    <w:p>
      <w:pPr>
        <w:jc w:val="center"/>
      </w:pPr>
      <w:r>
        <w:rPr>
          <w:rFonts w:ascii="Aptos" w:hAnsi="Aptos"/>
          <w:b w:val="0"/>
          <w:i w:val="0"/>
          <w:color w:val="6B7280"/>
          <w:sz w:val="20"/>
        </w:rPr>
        <w:t>N°16, avenue Lalla Abla, 85000 Tiznit | Actif hôtelier à finaliser et exploiter</w:t>
      </w:r>
    </w:p>
    <w:p>
      <w:pPr>
        <w:jc w:val="center"/>
      </w:pPr>
      <w:r>
        <w:drawing>
          <wp:inline xmlns:a="http://schemas.openxmlformats.org/drawingml/2006/main" xmlns:pic="http://schemas.openxmlformats.org/drawingml/2006/picture">
            <wp:extent cx="6080760" cy="6080760"/>
            <wp:docPr id="2" name="Picture 2"/>
            <wp:cNvGraphicFramePr>
              <a:graphicFrameLocks noChangeAspect="1"/>
            </wp:cNvGraphicFramePr>
            <a:graphic>
              <a:graphicData uri="http://schemas.openxmlformats.org/drawingml/2006/picture">
                <pic:pic>
                  <pic:nvPicPr>
                    <pic:cNvPr id="0" name="facade.jpg"/>
                    <pic:cNvPicPr/>
                  </pic:nvPicPr>
                  <pic:blipFill>
                    <a:blip r:embed="rId10"/>
                    <a:stretch>
                      <a:fillRect/>
                    </a:stretch>
                  </pic:blipFill>
                  <pic:spPr>
                    <a:xfrm>
                      <a:off x="0" y="0"/>
                      <a:ext cx="6080760" cy="6080760"/>
                    </a:xfrm>
                    <a:prstGeom prst="rect"/>
                  </pic:spPr>
                </pic:pic>
              </a:graphicData>
            </a:graphic>
          </wp:inline>
        </w:drawing>
      </w:r>
    </w:p>
    <w:p>
      <w:pPr>
        <w:jc w:val="center"/>
      </w:pPr>
      <w:r>
        <w:rPr>
          <w:rFonts w:ascii="Aptos" w:hAnsi="Aptos"/>
          <w:b w:val="0"/>
          <w:i/>
          <w:color w:val="6B7280"/>
          <w:sz w:val="16"/>
        </w:rPr>
        <w:t>Devanture et identité visuelle du projet Hôtel Mimosas</w:t>
      </w:r>
    </w:p>
    <w:tbl>
      <w:tblPr>
        <w:tblW w:type="auto" w:w="0"/>
        <w:tblLook w:firstColumn="1" w:firstRow="1" w:lastColumn="0" w:lastRow="0" w:noHBand="0" w:noVBand="1" w:val="04A0"/>
      </w:tblPr>
      <w:tblGrid>
        <w:gridCol w:w="2620"/>
        <w:gridCol w:w="2620"/>
        <w:gridCol w:w="2620"/>
        <w:gridCol w:w="2620"/>
      </w:tblGrid>
      <w:tr>
        <w:tc>
          <w:tcPr>
            <w:tcW w:type="dxa" w:w="2620"/>
            <w:shd w:fill="F7F1E6"/>
            <w:tcBorders>
              <w:top w:val="single" w:sz="8" w:space="0" w:color="E6D3AA"/>
              <w:left w:val="single" w:sz="8" w:space="0" w:color="E6D3AA"/>
              <w:bottom w:val="single" w:sz="8" w:space="0" w:color="E6D3AA"/>
              <w:right w:val="single" w:sz="8" w:space="0" w:color="E6D3AA"/>
            </w:tcBorders>
          </w:tcPr>
          <w:p>
            <w:pPr>
              <w:jc w:val="center"/>
            </w:pPr>
            <w:r>
              <w:rPr>
                <w:rFonts w:ascii="Aptos" w:hAnsi="Aptos"/>
                <w:b/>
                <w:i w:val="0"/>
                <w:color w:val="7A3F13"/>
                <w:sz w:val="16"/>
              </w:rPr>
              <w:t>Adresse</w:t>
            </w:r>
          </w:p>
          <w:p>
            <w:pPr>
              <w:jc w:val="center"/>
            </w:pPr>
            <w:r>
              <w:rPr>
                <w:rFonts w:ascii="Aptos" w:hAnsi="Aptos"/>
                <w:b w:val="0"/>
                <w:i w:val="0"/>
                <w:color w:val="1F2937"/>
                <w:sz w:val="18"/>
              </w:rPr>
              <w:t>N°16, avenue Lalla Abla, 85000 Tiznit</w:t>
            </w:r>
          </w:p>
        </w:tc>
        <w:tc>
          <w:tcPr>
            <w:tcW w:type="dxa" w:w="2620"/>
            <w:shd w:fill="F7F1E6"/>
            <w:tcBorders>
              <w:top w:val="single" w:sz="8" w:space="0" w:color="E6D3AA"/>
              <w:left w:val="single" w:sz="8" w:space="0" w:color="E6D3AA"/>
              <w:bottom w:val="single" w:sz="8" w:space="0" w:color="E6D3AA"/>
              <w:right w:val="single" w:sz="8" w:space="0" w:color="E6D3AA"/>
            </w:tcBorders>
          </w:tcPr>
          <w:p>
            <w:pPr>
              <w:jc w:val="center"/>
            </w:pPr>
            <w:r>
              <w:rPr>
                <w:rFonts w:ascii="Aptos" w:hAnsi="Aptos"/>
                <w:b/>
                <w:i w:val="0"/>
                <w:color w:val="7A3F13"/>
                <w:sz w:val="16"/>
              </w:rPr>
              <w:t>Positionnement</w:t>
            </w:r>
          </w:p>
          <w:p>
            <w:pPr>
              <w:jc w:val="center"/>
            </w:pPr>
            <w:r>
              <w:rPr>
                <w:rFonts w:ascii="Aptos" w:hAnsi="Aptos"/>
                <w:b w:val="0"/>
                <w:i w:val="0"/>
                <w:color w:val="1F2937"/>
                <w:sz w:val="18"/>
              </w:rPr>
              <w:t>Hôtel urbain + rooftop + restauration</w:t>
            </w:r>
          </w:p>
        </w:tc>
        <w:tc>
          <w:tcPr>
            <w:tcW w:type="dxa" w:w="2620"/>
            <w:shd w:fill="F7F1E6"/>
            <w:tcBorders>
              <w:top w:val="single" w:sz="8" w:space="0" w:color="E6D3AA"/>
              <w:left w:val="single" w:sz="8" w:space="0" w:color="E6D3AA"/>
              <w:bottom w:val="single" w:sz="8" w:space="0" w:color="E6D3AA"/>
              <w:right w:val="single" w:sz="8" w:space="0" w:color="E6D3AA"/>
            </w:tcBorders>
          </w:tcPr>
          <w:p>
            <w:pPr>
              <w:jc w:val="center"/>
            </w:pPr>
            <w:r>
              <w:rPr>
                <w:rFonts w:ascii="Aptos" w:hAnsi="Aptos"/>
                <w:b/>
                <w:i w:val="0"/>
                <w:color w:val="7A3F13"/>
                <w:sz w:val="16"/>
              </w:rPr>
              <w:t>Digital</w:t>
            </w:r>
          </w:p>
          <w:p>
            <w:pPr>
              <w:jc w:val="center"/>
            </w:pPr>
            <w:r>
              <w:rPr>
                <w:rFonts w:ascii="Aptos" w:hAnsi="Aptos"/>
                <w:b w:val="0"/>
                <w:i w:val="0"/>
                <w:color w:val="1F2937"/>
                <w:sz w:val="18"/>
              </w:rPr>
              <w:t>Site multilingue, cartes Leaflet, galerie et visite 360</w:t>
            </w:r>
          </w:p>
        </w:tc>
        <w:tc>
          <w:tcPr>
            <w:tcW w:type="dxa" w:w="2620"/>
            <w:shd w:fill="F7F1E6"/>
            <w:tcBorders>
              <w:top w:val="single" w:sz="8" w:space="0" w:color="E6D3AA"/>
              <w:left w:val="single" w:sz="8" w:space="0" w:color="E6D3AA"/>
              <w:bottom w:val="single" w:sz="8" w:space="0" w:color="E6D3AA"/>
              <w:right w:val="single" w:sz="8" w:space="0" w:color="E6D3AA"/>
            </w:tcBorders>
          </w:tcPr>
          <w:p>
            <w:pPr>
              <w:jc w:val="center"/>
            </w:pPr>
            <w:r>
              <w:rPr>
                <w:rFonts w:ascii="Aptos" w:hAnsi="Aptos"/>
                <w:b/>
                <w:i w:val="0"/>
                <w:color w:val="7A3F13"/>
                <w:sz w:val="16"/>
              </w:rPr>
              <w:t>POI</w:t>
            </w:r>
          </w:p>
          <w:p>
            <w:pPr>
              <w:jc w:val="center"/>
            </w:pPr>
            <w:r>
              <w:rPr>
                <w:rFonts w:ascii="Aptos" w:hAnsi="Aptos"/>
                <w:b w:val="0"/>
                <w:i w:val="0"/>
                <w:color w:val="1F2937"/>
                <w:sz w:val="18"/>
              </w:rPr>
              <w:t>37 points d'intérêt cartographiés</w:t>
            </w:r>
          </w:p>
        </w:tc>
      </w:tr>
    </w:tbl>
    <w:p>
      <w:r>
        <w:br w:type="page"/>
      </w:r>
    </w:p>
    <w:p>
      <w:pPr>
        <w:spacing w:before="260" w:after="100"/>
        <w:jc w:val="left"/>
      </w:pPr>
      <w:r>
        <w:rPr>
          <w:rFonts w:ascii="Aptos" w:hAnsi="Aptos"/>
          <w:b/>
          <w:i w:val="0"/>
          <w:color w:val="7A3F13"/>
          <w:sz w:val="36"/>
        </w:rPr>
        <w:t>1. Synthèse exécutive</w:t>
      </w:r>
    </w:p>
    <w:tbl>
      <w:tblPr>
        <w:tblW w:type="auto" w:w="0"/>
        <w:tblLook w:firstColumn="1" w:firstRow="1" w:lastColumn="0" w:lastRow="0" w:noHBand="0" w:noVBand="1" w:val="04A0"/>
      </w:tblPr>
      <w:tblGrid>
        <w:gridCol w:w="10482"/>
      </w:tblGrid>
      <w:tr>
        <w:tc>
          <w:tcPr>
            <w:tcW w:type="dxa" w:w="10482"/>
            <w:shd w:fill="F7F1E6"/>
            <w:tcBorders>
              <w:top w:val="single" w:sz="10" w:space="0" w:color="D7B56D"/>
              <w:left w:val="single" w:sz="10" w:space="0" w:color="D7B56D"/>
              <w:bottom w:val="single" w:sz="10" w:space="0" w:color="D7B56D"/>
              <w:right w:val="single" w:sz="10" w:space="0" w:color="D7B56D"/>
            </w:tcBorders>
            <w:tcMar>
              <w:top w:w="170" w:type="dxa"/>
              <w:start w:w="220" w:type="dxa"/>
              <w:bottom w:w="170" w:type="dxa"/>
              <w:end w:w="220" w:type="dxa"/>
            </w:tcMar>
          </w:tcPr>
          <w:p>
            <w:pPr>
              <w:jc w:val="left"/>
            </w:pPr>
            <w:r>
              <w:rPr>
                <w:rFonts w:ascii="Aptos" w:hAnsi="Aptos"/>
                <w:b/>
                <w:i w:val="0"/>
                <w:color w:val="7A3F13"/>
                <w:sz w:val="22"/>
              </w:rPr>
              <w:t>Thèse d'investissement</w:t>
            </w:r>
          </w:p>
          <w:p>
            <w:pPr>
              <w:jc w:val="left"/>
            </w:pPr>
            <w:r>
              <w:rPr>
                <w:rFonts w:ascii="Aptos" w:hAnsi="Aptos"/>
                <w:b w:val="0"/>
                <w:i w:val="0"/>
                <w:color w:val="1F2937"/>
                <w:sz w:val="19"/>
              </w:rPr>
              <w:t>Mimosas est un actif hôtelier à Tiznit dont la valeur repose sur un potentiel déjà visible : identité de marque, espaces aménagés, rooftop, restaurant, visite 360, galerie photo, site multilingue et localisation urbaine proche des flux de la médina. L'opportunité pour un repreneur est d'acquérir un projet avancé, d'exécuter les dernières finitions, puis de lancer une exploitation orientée séjour, restauration, rooftop et expérience locale.</w:t>
            </w:r>
          </w:p>
        </w:tc>
      </w:tr>
    </w:tbl>
    <w:p>
      <w:pPr>
        <w:spacing w:after="100" w:line="259" w:lineRule="auto"/>
        <w:jc w:val="left"/>
      </w:pPr>
      <w:r>
        <w:rPr>
          <w:rFonts w:ascii="Aptos" w:hAnsi="Aptos"/>
          <w:b w:val="0"/>
          <w:i w:val="0"/>
          <w:color w:val="1F2937"/>
          <w:sz w:val="20"/>
        </w:rPr>
        <w:t>Le projet n'est pas présenté comme une promesse immobilière abstraite, mais comme une plateforme d'exploitation hôtelière. L'acheteur potentiel doit pouvoir se projeter rapidement : finaliser, classer, commercialiser, ouvrir, mesurer, optimiser.</w:t>
      </w:r>
    </w:p>
    <w:p>
      <w:pPr>
        <w:spacing w:before="260" w:after="100"/>
        <w:jc w:val="left"/>
      </w:pPr>
      <w:r>
        <w:rPr>
          <w:rFonts w:ascii="Aptos" w:hAnsi="Aptos"/>
          <w:b/>
          <w:i w:val="0"/>
          <w:color w:val="7A3F13"/>
          <w:sz w:val="36"/>
        </w:rPr>
        <w:t>2. Fiche actif</w:t>
      </w:r>
    </w:p>
    <w:tbl>
      <w:tblPr>
        <w:tblW w:type="auto" w:w="0"/>
        <w:jc w:val="center"/>
        <w:tblLook w:firstColumn="1" w:firstRow="1" w:lastColumn="0" w:lastRow="0" w:noHBand="0" w:noVBand="1" w:val="04A0"/>
      </w:tblPr>
      <w:tblGrid>
        <w:gridCol w:w="5241"/>
        <w:gridCol w:w="5241"/>
      </w:tblGrid>
      <w:tr>
        <w:tc>
          <w:tcPr>
            <w:tcW w:type="dxa" w:w="5241"/>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shd w:fill="7A3F13"/>
          </w:tcPr>
          <w:p>
            <w:r>
              <w:rPr>
                <w:b/>
                <w:color w:val="FFFFFF"/>
              </w:rPr>
              <w:t>Critère</w:t>
            </w:r>
          </w:p>
        </w:tc>
        <w:tc>
          <w:tcPr>
            <w:tcW w:type="dxa" w:w="5241"/>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shd w:fill="7A3F13"/>
          </w:tcPr>
          <w:p>
            <w:r>
              <w:rPr>
                <w:b/>
                <w:color w:val="FFFFFF"/>
              </w:rPr>
              <w:t>Lecture investisseur</w:t>
            </w:r>
          </w:p>
        </w:tc>
      </w:tr>
      <w:tr>
        <w:tc>
          <w:tcPr>
            <w:tcW w:type="dxa" w:w="5241"/>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Nom commercial</w:t>
            </w:r>
          </w:p>
        </w:tc>
        <w:tc>
          <w:tcPr>
            <w:tcW w:type="dxa" w:w="5241"/>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Hôtel Mimosas</w:t>
            </w:r>
          </w:p>
        </w:tc>
      </w:tr>
      <w:tr>
        <w:tc>
          <w:tcPr>
            <w:tcW w:type="dxa" w:w="5241"/>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Adresse</w:t>
            </w:r>
          </w:p>
        </w:tc>
        <w:tc>
          <w:tcPr>
            <w:tcW w:type="dxa" w:w="5241"/>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N°16, avenue Lalla Abla, 85000 Tiznit</w:t>
            </w:r>
          </w:p>
        </w:tc>
      </w:tr>
      <w:tr>
        <w:tc>
          <w:tcPr>
            <w:tcW w:type="dxa" w:w="5241"/>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Coordonnées GPS</w:t>
            </w:r>
          </w:p>
        </w:tc>
        <w:tc>
          <w:tcPr>
            <w:tcW w:type="dxa" w:w="5241"/>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29.694128, -9.723413</w:t>
            </w:r>
          </w:p>
        </w:tc>
      </w:tr>
      <w:tr>
        <w:tc>
          <w:tcPr>
            <w:tcW w:type="dxa" w:w="5241"/>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Concept</w:t>
            </w:r>
          </w:p>
        </w:tc>
        <w:tc>
          <w:tcPr>
            <w:tcW w:type="dxa" w:w="5241"/>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Hôtel urbain avec rooftop, espaces restauration/bar et potentiel séjour court ou étape touristique.</w:t>
            </w:r>
          </w:p>
        </w:tc>
      </w:tr>
      <w:tr>
        <w:tc>
          <w:tcPr>
            <w:tcW w:type="dxa" w:w="5241"/>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État du projet</w:t>
            </w:r>
          </w:p>
        </w:tc>
        <w:tc>
          <w:tcPr>
            <w:tcW w:type="dxa" w:w="5241"/>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Actif à potentiel avancé : image de marque, espaces visibles, contenus photos, visite virtuelle et site web déjà préparés. Les travaux, conformité et classement restent à confirmer par audit technique.</w:t>
            </w:r>
          </w:p>
        </w:tc>
      </w:tr>
      <w:tr>
        <w:tc>
          <w:tcPr>
            <w:tcW w:type="dxa" w:w="5241"/>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URL visite 360</w:t>
            </w:r>
          </w:p>
        </w:tc>
        <w:tc>
          <w:tcPr>
            <w:tcW w:type="dxa" w:w="5241"/>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Mimosas/Tour/index.htm</w:t>
            </w:r>
          </w:p>
        </w:tc>
      </w:tr>
    </w:tbl>
    <w:p>
      <w:pPr>
        <w:spacing w:before="260" w:after="100"/>
        <w:jc w:val="left"/>
      </w:pPr>
      <w:r>
        <w:rPr>
          <w:rFonts w:ascii="Aptos" w:hAnsi="Aptos"/>
          <w:b/>
          <w:i w:val="0"/>
          <w:color w:val="7A3F13"/>
          <w:sz w:val="36"/>
        </w:rPr>
        <w:t>3. Contexte marché et territoire</w:t>
      </w:r>
    </w:p>
    <w:p>
      <w:pPr>
        <w:spacing w:after="100" w:line="259" w:lineRule="auto"/>
        <w:jc w:val="left"/>
      </w:pPr>
      <w:r>
        <w:rPr>
          <w:rFonts w:ascii="Aptos" w:hAnsi="Aptos"/>
          <w:b w:val="0"/>
          <w:i w:val="0"/>
          <w:color w:val="1F2937"/>
          <w:sz w:val="20"/>
        </w:rPr>
        <w:t>Le Maroc bénéficie d'une dynamique touristique forte. Les chiffres publics du Ministère du Tourisme indiquent 19,8 millions de visiteurs en 2025, une progression de 14% par rapport à 2024, ainsi que 138 milliards de dirhams de recettes touristiques en 2025.</w:t>
      </w:r>
    </w:p>
    <w:p>
      <w:pPr>
        <w:spacing w:after="100" w:line="259" w:lineRule="auto"/>
        <w:jc w:val="left"/>
      </w:pPr>
      <w:r>
        <w:rPr>
          <w:rFonts w:ascii="Aptos" w:hAnsi="Aptos"/>
          <w:b w:val="0"/>
          <w:i w:val="0"/>
          <w:color w:val="1F2937"/>
          <w:sz w:val="20"/>
        </w:rPr>
        <w:t>Tiznit offre une proposition distincte des destinations très saturées : médina, remparts, artisanat d'argent, proximité d'Aglou, accès aux paysages du Souss Massa et positionnement de séjour paisible.</w:t>
      </w:r>
    </w:p>
    <w:p>
      <w:pPr>
        <w:pStyle w:val="ListBullet"/>
        <w:spacing w:after="60"/>
        <w:jc w:val="left"/>
      </w:pPr>
      <w:r>
        <w:rPr>
          <w:rFonts w:ascii="Aptos" w:hAnsi="Aptos"/>
          <w:b w:val="0"/>
          <w:i w:val="0"/>
          <w:color w:val="1F2937"/>
          <w:sz w:val="19"/>
        </w:rPr>
        <w:t>Le rooftop permet de créer une offre visible au-delà de l'hébergement : café, restauration légère, soirées, privatisations et rendez-vous locaux.</w:t>
      </w:r>
    </w:p>
    <w:p>
      <w:pPr>
        <w:spacing w:before="260" w:after="100"/>
        <w:jc w:val="left"/>
      </w:pPr>
      <w:r>
        <w:rPr>
          <w:rFonts w:ascii="Aptos" w:hAnsi="Aptos"/>
          <w:b/>
          <w:i w:val="0"/>
          <w:color w:val="7A3F13"/>
          <w:sz w:val="36"/>
        </w:rPr>
        <w:t>4. Atouts spécifiques de Mimosas</w:t>
      </w:r>
    </w:p>
    <w:tbl>
      <w:tblPr>
        <w:tblW w:type="auto" w:w="0"/>
        <w:jc w:val="center"/>
        <w:tblLook w:firstColumn="1" w:firstRow="1" w:lastColumn="0" w:lastRow="0" w:noHBand="0" w:noVBand="1" w:val="04A0"/>
      </w:tblPr>
      <w:tblGrid>
        <w:gridCol w:w="3494"/>
        <w:gridCol w:w="3494"/>
        <w:gridCol w:w="3494"/>
      </w:tblGrid>
      <w:tr>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shd w:fill="7A3F13"/>
          </w:tcPr>
          <w:p>
            <w:r>
              <w:rPr>
                <w:b/>
                <w:color w:val="FFFFFF"/>
              </w:rPr>
              <w:t>Atout</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shd w:fill="7A3F13"/>
          </w:tcPr>
          <w:p>
            <w:r>
              <w:rPr>
                <w:b/>
                <w:color w:val="FFFFFF"/>
              </w:rPr>
              <w:t>Impact commercial</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shd w:fill="7A3F13"/>
          </w:tcPr>
          <w:p>
            <w:r>
              <w:rPr>
                <w:b/>
                <w:color w:val="FFFFFF"/>
              </w:rPr>
              <w:t>Action recommandée</w:t>
            </w:r>
          </w:p>
        </w:tc>
      </w:tr>
      <w:tr>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Rooftop</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Différenciation forte et revenus hors hébergement.</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Créer une offre sunset, petit-déjeuner, café, tapas et événements privés.</w:t>
            </w:r>
          </w:p>
        </w:tc>
      </w:tr>
      <w:tr>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Restaurant / comptoir</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Revenus additionnels et meilleure expérience client.</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Définir une carte courte, locale, rentable et facile à exécuter.</w:t>
            </w:r>
          </w:p>
        </w:tc>
      </w:tr>
      <w:tr>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Visite 360</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Réduit l'incertitude investisseur et client.</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L'utiliser dans la vente, Google Business, le site et les annonces.</w:t>
            </w:r>
          </w:p>
        </w:tc>
      </w:tr>
    </w:tbl>
    <w:p>
      <w:pPr>
        <w:spacing w:before="260" w:after="100"/>
        <w:jc w:val="left"/>
      </w:pPr>
      <w:r>
        <w:rPr>
          <w:rFonts w:ascii="Aptos" w:hAnsi="Aptos"/>
          <w:b/>
          <w:i w:val="0"/>
          <w:color w:val="7A3F13"/>
          <w:sz w:val="36"/>
        </w:rPr>
        <w:t>5. Dossier visuel</w:t>
      </w:r>
    </w:p>
    <w:p>
      <w:pPr>
        <w:spacing w:after="100" w:line="259" w:lineRule="auto"/>
        <w:jc w:val="left"/>
      </w:pPr>
      <w:r>
        <w:rPr>
          <w:rFonts w:ascii="Aptos" w:hAnsi="Aptos"/>
          <w:b w:val="0"/>
          <w:i w:val="0"/>
          <w:color w:val="1F2937"/>
          <w:sz w:val="20"/>
        </w:rPr>
        <w:t>Les visuels montrent un actif déjà lisible : identité, façade, accueil, chambres, rooftop et restaurant.</w:t>
      </w:r>
    </w:p>
    <w:tbl>
      <w:tblPr>
        <w:tblW w:type="auto" w:w="0"/>
        <w:tblLook w:firstColumn="1" w:firstRow="1" w:lastColumn="0" w:lastRow="0" w:noHBand="0" w:noVBand="1" w:val="04A0"/>
      </w:tblPr>
      <w:tblGrid>
        <w:gridCol w:w="5241"/>
        <w:gridCol w:w="5241"/>
      </w:tblGrid>
      <w:tr>
        <w:tc>
          <w:tcPr>
            <w:tcW w:type="dxa" w:w="5241"/>
            <w:tcBorders>
              <w:top w:val="single" w:sz="0" w:space="0" w:color="FFFFFF"/>
              <w:left w:val="single" w:sz="0" w:space="0" w:color="FFFFFF"/>
              <w:bottom w:val="single" w:sz="0" w:space="0" w:color="FFFFFF"/>
              <w:right w:val="single" w:sz="0" w:space="0" w:color="FFFFFF"/>
            </w:tcBorders>
            <w:tcMar>
              <w:top w:w="80" w:type="dxa"/>
              <w:start w:w="80" w:type="dxa"/>
              <w:bottom w:w="120" w:type="dxa"/>
              <w:end w:w="80" w:type="dxa"/>
            </w:tcMar>
          </w:tcPr>
          <w:p>
            <w:pPr>
              <w:jc w:val="center"/>
            </w:pPr>
            <w:r>
              <w:drawing>
                <wp:inline xmlns:a="http://schemas.openxmlformats.org/drawingml/2006/main" xmlns:pic="http://schemas.openxmlformats.org/drawingml/2006/picture">
                  <wp:extent cx="2788920" cy="2788920"/>
                  <wp:docPr id="3" name="Picture 3"/>
                  <wp:cNvGraphicFramePr>
                    <a:graphicFrameLocks noChangeAspect="1"/>
                  </wp:cNvGraphicFramePr>
                  <a:graphic>
                    <a:graphicData uri="http://schemas.openxmlformats.org/drawingml/2006/picture">
                      <pic:pic>
                        <pic:nvPicPr>
                          <pic:cNvPr id="0" name="facade.jpg"/>
                          <pic:cNvPicPr/>
                        </pic:nvPicPr>
                        <pic:blipFill>
                          <a:blip r:embed="rId10"/>
                          <a:stretch>
                            <a:fillRect/>
                          </a:stretch>
                        </pic:blipFill>
                        <pic:spPr>
                          <a:xfrm>
                            <a:off x="0" y="0"/>
                            <a:ext cx="2788920" cy="2788920"/>
                          </a:xfrm>
                          <a:prstGeom prst="rect"/>
                        </pic:spPr>
                      </pic:pic>
                    </a:graphicData>
                  </a:graphic>
                </wp:inline>
              </w:drawing>
            </w:r>
          </w:p>
          <w:p>
            <w:pPr>
              <w:jc w:val="center"/>
            </w:pPr>
            <w:r>
              <w:rPr>
                <w:rFonts w:ascii="Aptos" w:hAnsi="Aptos"/>
                <w:b w:val="0"/>
                <w:i/>
                <w:color w:val="6B7280"/>
                <w:sz w:val="16"/>
              </w:rPr>
              <w:t>Devanture</w:t>
            </w:r>
          </w:p>
        </w:tc>
        <w:tc>
          <w:tcPr>
            <w:tcW w:type="dxa" w:w="5241"/>
            <w:tcBorders>
              <w:top w:val="single" w:sz="0" w:space="0" w:color="FFFFFF"/>
              <w:left w:val="single" w:sz="0" w:space="0" w:color="FFFFFF"/>
              <w:bottom w:val="single" w:sz="0" w:space="0" w:color="FFFFFF"/>
              <w:right w:val="single" w:sz="0" w:space="0" w:color="FFFFFF"/>
            </w:tcBorders>
            <w:tcMar>
              <w:top w:w="80" w:type="dxa"/>
              <w:start w:w="80" w:type="dxa"/>
              <w:bottom w:w="120" w:type="dxa"/>
              <w:end w:w="80" w:type="dxa"/>
            </w:tcMar>
          </w:tcPr>
          <w:p>
            <w:pPr>
              <w:jc w:val="center"/>
            </w:pPr>
            <w:r>
              <w:drawing>
                <wp:inline xmlns:a="http://schemas.openxmlformats.org/drawingml/2006/main" xmlns:pic="http://schemas.openxmlformats.org/drawingml/2006/picture">
                  <wp:extent cx="2788920" cy="1521574"/>
                  <wp:docPr id="4" name="Picture 4"/>
                  <wp:cNvGraphicFramePr>
                    <a:graphicFrameLocks noChangeAspect="1"/>
                  </wp:cNvGraphicFramePr>
                  <a:graphic>
                    <a:graphicData uri="http://schemas.openxmlformats.org/drawingml/2006/picture">
                      <pic:pic>
                        <pic:nvPicPr>
                          <pic:cNvPr id="0" name="entree.jpg"/>
                          <pic:cNvPicPr/>
                        </pic:nvPicPr>
                        <pic:blipFill>
                          <a:blip r:embed="rId11"/>
                          <a:stretch>
                            <a:fillRect/>
                          </a:stretch>
                        </pic:blipFill>
                        <pic:spPr>
                          <a:xfrm>
                            <a:off x="0" y="0"/>
                            <a:ext cx="2788920" cy="1521574"/>
                          </a:xfrm>
                          <a:prstGeom prst="rect"/>
                        </pic:spPr>
                      </pic:pic>
                    </a:graphicData>
                  </a:graphic>
                </wp:inline>
              </w:drawing>
            </w:r>
          </w:p>
          <w:p>
            <w:pPr>
              <w:jc w:val="center"/>
            </w:pPr>
            <w:r>
              <w:rPr>
                <w:rFonts w:ascii="Aptos" w:hAnsi="Aptos"/>
                <w:b w:val="0"/>
                <w:i/>
                <w:color w:val="6B7280"/>
                <w:sz w:val="16"/>
              </w:rPr>
              <w:t>Entrée</w:t>
            </w:r>
          </w:p>
        </w:tc>
      </w:tr>
      <w:tr>
        <w:tc>
          <w:tcPr>
            <w:tcW w:type="dxa" w:w="5241"/>
            <w:tcBorders>
              <w:top w:val="single" w:sz="0" w:space="0" w:color="FFFFFF"/>
              <w:left w:val="single" w:sz="0" w:space="0" w:color="FFFFFF"/>
              <w:bottom w:val="single" w:sz="0" w:space="0" w:color="FFFFFF"/>
              <w:right w:val="single" w:sz="0" w:space="0" w:color="FFFFFF"/>
            </w:tcBorders>
            <w:tcMar>
              <w:top w:w="80" w:type="dxa"/>
              <w:start w:w="80" w:type="dxa"/>
              <w:bottom w:w="120" w:type="dxa"/>
              <w:end w:w="80" w:type="dxa"/>
            </w:tcMar>
          </w:tcPr>
          <w:p>
            <w:pPr>
              <w:jc w:val="center"/>
            </w:pPr>
            <w:r>
              <w:drawing>
                <wp:inline xmlns:a="http://schemas.openxmlformats.org/drawingml/2006/main" xmlns:pic="http://schemas.openxmlformats.org/drawingml/2006/picture">
                  <wp:extent cx="2788920" cy="1530369"/>
                  <wp:docPr id="5" name="Picture 5"/>
                  <wp:cNvGraphicFramePr>
                    <a:graphicFrameLocks noChangeAspect="1"/>
                  </wp:cNvGraphicFramePr>
                  <a:graphic>
                    <a:graphicData uri="http://schemas.openxmlformats.org/drawingml/2006/picture">
                      <pic:pic>
                        <pic:nvPicPr>
                          <pic:cNvPr id="0" name="reception.jpg"/>
                          <pic:cNvPicPr/>
                        </pic:nvPicPr>
                        <pic:blipFill>
                          <a:blip r:embed="rId12"/>
                          <a:stretch>
                            <a:fillRect/>
                          </a:stretch>
                        </pic:blipFill>
                        <pic:spPr>
                          <a:xfrm>
                            <a:off x="0" y="0"/>
                            <a:ext cx="2788920" cy="1530369"/>
                          </a:xfrm>
                          <a:prstGeom prst="rect"/>
                        </pic:spPr>
                      </pic:pic>
                    </a:graphicData>
                  </a:graphic>
                </wp:inline>
              </w:drawing>
            </w:r>
          </w:p>
          <w:p>
            <w:pPr>
              <w:jc w:val="center"/>
            </w:pPr>
            <w:r>
              <w:rPr>
                <w:rFonts w:ascii="Aptos" w:hAnsi="Aptos"/>
                <w:b w:val="0"/>
                <w:i/>
                <w:color w:val="6B7280"/>
                <w:sz w:val="16"/>
              </w:rPr>
              <w:t>Réception</w:t>
            </w:r>
          </w:p>
        </w:tc>
        <w:tc>
          <w:tcPr>
            <w:tcW w:type="dxa" w:w="5241"/>
            <w:tcBorders>
              <w:top w:val="single" w:sz="0" w:space="0" w:color="FFFFFF"/>
              <w:left w:val="single" w:sz="0" w:space="0" w:color="FFFFFF"/>
              <w:bottom w:val="single" w:sz="0" w:space="0" w:color="FFFFFF"/>
              <w:right w:val="single" w:sz="0" w:space="0" w:color="FFFFFF"/>
            </w:tcBorders>
            <w:tcMar>
              <w:top w:w="80" w:type="dxa"/>
              <w:start w:w="80" w:type="dxa"/>
              <w:bottom w:w="120" w:type="dxa"/>
              <w:end w:w="80" w:type="dxa"/>
            </w:tcMar>
          </w:tcPr>
          <w:p>
            <w:pPr>
              <w:jc w:val="center"/>
            </w:pPr>
            <w:r>
              <w:drawing>
                <wp:inline xmlns:a="http://schemas.openxmlformats.org/drawingml/2006/main" xmlns:pic="http://schemas.openxmlformats.org/drawingml/2006/picture">
                  <wp:extent cx="2788920" cy="1436294"/>
                  <wp:docPr id="6" name="Picture 6"/>
                  <wp:cNvGraphicFramePr>
                    <a:graphicFrameLocks noChangeAspect="1"/>
                  </wp:cNvGraphicFramePr>
                  <a:graphic>
                    <a:graphicData uri="http://schemas.openxmlformats.org/drawingml/2006/picture">
                      <pic:pic>
                        <pic:nvPicPr>
                          <pic:cNvPr id="0" name="chambre.jpg"/>
                          <pic:cNvPicPr/>
                        </pic:nvPicPr>
                        <pic:blipFill>
                          <a:blip r:embed="rId13"/>
                          <a:stretch>
                            <a:fillRect/>
                          </a:stretch>
                        </pic:blipFill>
                        <pic:spPr>
                          <a:xfrm>
                            <a:off x="0" y="0"/>
                            <a:ext cx="2788920" cy="1436294"/>
                          </a:xfrm>
                          <a:prstGeom prst="rect"/>
                        </pic:spPr>
                      </pic:pic>
                    </a:graphicData>
                  </a:graphic>
                </wp:inline>
              </w:drawing>
            </w:r>
          </w:p>
          <w:p>
            <w:pPr>
              <w:jc w:val="center"/>
            </w:pPr>
            <w:r>
              <w:rPr>
                <w:rFonts w:ascii="Aptos" w:hAnsi="Aptos"/>
                <w:b w:val="0"/>
                <w:i/>
                <w:color w:val="6B7280"/>
                <w:sz w:val="16"/>
              </w:rPr>
              <w:t>Chambre</w:t>
            </w:r>
          </w:p>
        </w:tc>
      </w:tr>
      <w:tr>
        <w:tc>
          <w:tcPr>
            <w:tcW w:type="dxa" w:w="5241"/>
            <w:tcBorders>
              <w:top w:val="single" w:sz="0" w:space="0" w:color="FFFFFF"/>
              <w:left w:val="single" w:sz="0" w:space="0" w:color="FFFFFF"/>
              <w:bottom w:val="single" w:sz="0" w:space="0" w:color="FFFFFF"/>
              <w:right w:val="single" w:sz="0" w:space="0" w:color="FFFFFF"/>
            </w:tcBorders>
            <w:tcMar>
              <w:top w:w="80" w:type="dxa"/>
              <w:start w:w="80" w:type="dxa"/>
              <w:bottom w:w="120" w:type="dxa"/>
              <w:end w:w="80" w:type="dxa"/>
            </w:tcMar>
          </w:tcPr>
          <w:p>
            <w:pPr>
              <w:jc w:val="center"/>
            </w:pPr>
            <w:r>
              <w:drawing>
                <wp:inline xmlns:a="http://schemas.openxmlformats.org/drawingml/2006/main" xmlns:pic="http://schemas.openxmlformats.org/drawingml/2006/picture">
                  <wp:extent cx="2788920" cy="1535202"/>
                  <wp:docPr id="7" name="Picture 7"/>
                  <wp:cNvGraphicFramePr>
                    <a:graphicFrameLocks noChangeAspect="1"/>
                  </wp:cNvGraphicFramePr>
                  <a:graphic>
                    <a:graphicData uri="http://schemas.openxmlformats.org/drawingml/2006/picture">
                      <pic:pic>
                        <pic:nvPicPr>
                          <pic:cNvPr id="0" name="couloir.jpg"/>
                          <pic:cNvPicPr/>
                        </pic:nvPicPr>
                        <pic:blipFill>
                          <a:blip r:embed="rId14"/>
                          <a:stretch>
                            <a:fillRect/>
                          </a:stretch>
                        </pic:blipFill>
                        <pic:spPr>
                          <a:xfrm>
                            <a:off x="0" y="0"/>
                            <a:ext cx="2788920" cy="1535202"/>
                          </a:xfrm>
                          <a:prstGeom prst="rect"/>
                        </pic:spPr>
                      </pic:pic>
                    </a:graphicData>
                  </a:graphic>
                </wp:inline>
              </w:drawing>
            </w:r>
          </w:p>
          <w:p>
            <w:pPr>
              <w:jc w:val="center"/>
            </w:pPr>
            <w:r>
              <w:rPr>
                <w:rFonts w:ascii="Aptos" w:hAnsi="Aptos"/>
                <w:b w:val="0"/>
                <w:i/>
                <w:color w:val="6B7280"/>
                <w:sz w:val="16"/>
              </w:rPr>
              <w:t>Couloir</w:t>
            </w:r>
          </w:p>
        </w:tc>
        <w:tc>
          <w:tcPr>
            <w:tcW w:type="dxa" w:w="5241"/>
            <w:tcBorders>
              <w:top w:val="single" w:sz="0" w:space="0" w:color="FFFFFF"/>
              <w:left w:val="single" w:sz="0" w:space="0" w:color="FFFFFF"/>
              <w:bottom w:val="single" w:sz="0" w:space="0" w:color="FFFFFF"/>
              <w:right w:val="single" w:sz="0" w:space="0" w:color="FFFFFF"/>
            </w:tcBorders>
            <w:tcMar>
              <w:top w:w="80" w:type="dxa"/>
              <w:start w:w="80" w:type="dxa"/>
              <w:bottom w:w="120" w:type="dxa"/>
              <w:end w:w="80" w:type="dxa"/>
            </w:tcMar>
          </w:tcPr>
          <w:p>
            <w:pPr>
              <w:jc w:val="center"/>
            </w:pPr>
            <w:r>
              <w:drawing>
                <wp:inline xmlns:a="http://schemas.openxmlformats.org/drawingml/2006/main" xmlns:pic="http://schemas.openxmlformats.org/drawingml/2006/picture">
                  <wp:extent cx="2788920" cy="1547544"/>
                  <wp:docPr id="8" name="Picture 8"/>
                  <wp:cNvGraphicFramePr>
                    <a:graphicFrameLocks noChangeAspect="1"/>
                  </wp:cNvGraphicFramePr>
                  <a:graphic>
                    <a:graphicData uri="http://schemas.openxmlformats.org/drawingml/2006/picture">
                      <pic:pic>
                        <pic:nvPicPr>
                          <pic:cNvPr id="0" name="sdb.jpg"/>
                          <pic:cNvPicPr/>
                        </pic:nvPicPr>
                        <pic:blipFill>
                          <a:blip r:embed="rId15"/>
                          <a:stretch>
                            <a:fillRect/>
                          </a:stretch>
                        </pic:blipFill>
                        <pic:spPr>
                          <a:xfrm>
                            <a:off x="0" y="0"/>
                            <a:ext cx="2788920" cy="1547544"/>
                          </a:xfrm>
                          <a:prstGeom prst="rect"/>
                        </pic:spPr>
                      </pic:pic>
                    </a:graphicData>
                  </a:graphic>
                </wp:inline>
              </w:drawing>
            </w:r>
          </w:p>
          <w:p>
            <w:pPr>
              <w:jc w:val="center"/>
            </w:pPr>
            <w:r>
              <w:rPr>
                <w:rFonts w:ascii="Aptos" w:hAnsi="Aptos"/>
                <w:b w:val="0"/>
                <w:i/>
                <w:color w:val="6B7280"/>
                <w:sz w:val="16"/>
              </w:rPr>
              <w:t>Salle d'eau</w:t>
            </w:r>
          </w:p>
        </w:tc>
      </w:tr>
      <w:tr>
        <w:tc>
          <w:tcPr>
            <w:tcW w:type="dxa" w:w="5241"/>
            <w:tcBorders>
              <w:top w:val="single" w:sz="0" w:space="0" w:color="FFFFFF"/>
              <w:left w:val="single" w:sz="0" w:space="0" w:color="FFFFFF"/>
              <w:bottom w:val="single" w:sz="0" w:space="0" w:color="FFFFFF"/>
              <w:right w:val="single" w:sz="0" w:space="0" w:color="FFFFFF"/>
            </w:tcBorders>
            <w:tcMar>
              <w:top w:w="80" w:type="dxa"/>
              <w:start w:w="80" w:type="dxa"/>
              <w:bottom w:w="120" w:type="dxa"/>
              <w:end w:w="80" w:type="dxa"/>
            </w:tcMar>
          </w:tcPr>
          <w:p>
            <w:pPr>
              <w:jc w:val="center"/>
            </w:pPr>
            <w:r>
              <w:drawing>
                <wp:inline xmlns:a="http://schemas.openxmlformats.org/drawingml/2006/main" xmlns:pic="http://schemas.openxmlformats.org/drawingml/2006/picture">
                  <wp:extent cx="2788920" cy="1524091"/>
                  <wp:docPr id="9" name="Picture 9"/>
                  <wp:cNvGraphicFramePr>
                    <a:graphicFrameLocks noChangeAspect="1"/>
                  </wp:cNvGraphicFramePr>
                  <a:graphic>
                    <a:graphicData uri="http://schemas.openxmlformats.org/drawingml/2006/picture">
                      <pic:pic>
                        <pic:nvPicPr>
                          <pic:cNvPr id="0" name="rooftop.jpg"/>
                          <pic:cNvPicPr/>
                        </pic:nvPicPr>
                        <pic:blipFill>
                          <a:blip r:embed="rId16"/>
                          <a:stretch>
                            <a:fillRect/>
                          </a:stretch>
                        </pic:blipFill>
                        <pic:spPr>
                          <a:xfrm>
                            <a:off x="0" y="0"/>
                            <a:ext cx="2788920" cy="1524091"/>
                          </a:xfrm>
                          <a:prstGeom prst="rect"/>
                        </pic:spPr>
                      </pic:pic>
                    </a:graphicData>
                  </a:graphic>
                </wp:inline>
              </w:drawing>
            </w:r>
          </w:p>
          <w:p>
            <w:pPr>
              <w:jc w:val="center"/>
            </w:pPr>
            <w:r>
              <w:rPr>
                <w:rFonts w:ascii="Aptos" w:hAnsi="Aptos"/>
                <w:b w:val="0"/>
                <w:i/>
                <w:color w:val="6B7280"/>
                <w:sz w:val="16"/>
              </w:rPr>
              <w:t>Rooftop</w:t>
            </w:r>
          </w:p>
        </w:tc>
        <w:tc>
          <w:tcPr>
            <w:tcW w:type="dxa" w:w="5241"/>
            <w:tcBorders>
              <w:top w:val="single" w:sz="0" w:space="0" w:color="FFFFFF"/>
              <w:left w:val="single" w:sz="0" w:space="0" w:color="FFFFFF"/>
              <w:bottom w:val="single" w:sz="0" w:space="0" w:color="FFFFFF"/>
              <w:right w:val="single" w:sz="0" w:space="0" w:color="FFFFFF"/>
            </w:tcBorders>
            <w:tcMar>
              <w:top w:w="80" w:type="dxa"/>
              <w:start w:w="80" w:type="dxa"/>
              <w:bottom w:w="120" w:type="dxa"/>
              <w:end w:w="80" w:type="dxa"/>
            </w:tcMar>
          </w:tcPr>
          <w:p>
            <w:pPr>
              <w:jc w:val="center"/>
            </w:pPr>
            <w:r>
              <w:drawing>
                <wp:inline xmlns:a="http://schemas.openxmlformats.org/drawingml/2006/main" xmlns:pic="http://schemas.openxmlformats.org/drawingml/2006/picture">
                  <wp:extent cx="2788920" cy="1543239"/>
                  <wp:docPr id="10" name="Picture 10"/>
                  <wp:cNvGraphicFramePr>
                    <a:graphicFrameLocks noChangeAspect="1"/>
                  </wp:cNvGraphicFramePr>
                  <a:graphic>
                    <a:graphicData uri="http://schemas.openxmlformats.org/drawingml/2006/picture">
                      <pic:pic>
                        <pic:nvPicPr>
                          <pic:cNvPr id="0" name="restaurant.jpg"/>
                          <pic:cNvPicPr/>
                        </pic:nvPicPr>
                        <pic:blipFill>
                          <a:blip r:embed="rId17"/>
                          <a:stretch>
                            <a:fillRect/>
                          </a:stretch>
                        </pic:blipFill>
                        <pic:spPr>
                          <a:xfrm>
                            <a:off x="0" y="0"/>
                            <a:ext cx="2788920" cy="1543239"/>
                          </a:xfrm>
                          <a:prstGeom prst="rect"/>
                        </pic:spPr>
                      </pic:pic>
                    </a:graphicData>
                  </a:graphic>
                </wp:inline>
              </w:drawing>
            </w:r>
          </w:p>
          <w:p>
            <w:pPr>
              <w:jc w:val="center"/>
            </w:pPr>
            <w:r>
              <w:rPr>
                <w:rFonts w:ascii="Aptos" w:hAnsi="Aptos"/>
                <w:b w:val="0"/>
                <w:i/>
                <w:color w:val="6B7280"/>
                <w:sz w:val="16"/>
              </w:rPr>
              <w:t>Restaurant</w:t>
            </w:r>
          </w:p>
        </w:tc>
      </w:tr>
    </w:tbl>
    <w:p>
      <w:pPr>
        <w:spacing w:before="260" w:after="100"/>
        <w:jc w:val="left"/>
      </w:pPr>
      <w:r>
        <w:rPr>
          <w:rFonts w:ascii="Aptos" w:hAnsi="Aptos"/>
          <w:b/>
          <w:i w:val="0"/>
          <w:color w:val="7A3F13"/>
          <w:sz w:val="36"/>
        </w:rPr>
        <w:t>6. Business plan synthétique</w:t>
      </w:r>
    </w:p>
    <w:tbl>
      <w:tblPr>
        <w:tblW w:type="auto" w:w="0"/>
        <w:tblLook w:firstColumn="1" w:firstRow="1" w:lastColumn="0" w:lastRow="0" w:noHBand="0" w:noVBand="1" w:val="04A0"/>
      </w:tblPr>
      <w:tblGrid>
        <w:gridCol w:w="10482"/>
      </w:tblGrid>
      <w:tr>
        <w:tc>
          <w:tcPr>
            <w:tcW w:type="dxa" w:w="10482"/>
            <w:shd w:fill="F7F1E6"/>
            <w:tcBorders>
              <w:top w:val="single" w:sz="10" w:space="0" w:color="D7B56D"/>
              <w:left w:val="single" w:sz="10" w:space="0" w:color="D7B56D"/>
              <w:bottom w:val="single" w:sz="10" w:space="0" w:color="D7B56D"/>
              <w:right w:val="single" w:sz="10" w:space="0" w:color="D7B56D"/>
            </w:tcBorders>
            <w:tcMar>
              <w:top w:w="170" w:type="dxa"/>
              <w:start w:w="220" w:type="dxa"/>
              <w:bottom w:w="170" w:type="dxa"/>
              <w:end w:w="220" w:type="dxa"/>
            </w:tcMar>
          </w:tcPr>
          <w:p>
            <w:pPr>
              <w:jc w:val="left"/>
            </w:pPr>
            <w:r>
              <w:rPr>
                <w:rFonts w:ascii="Aptos" w:hAnsi="Aptos"/>
                <w:b/>
                <w:i w:val="0"/>
                <w:color w:val="7A3F13"/>
                <w:sz w:val="22"/>
              </w:rPr>
              <w:t>Important</w:t>
            </w:r>
          </w:p>
          <w:p>
            <w:pPr>
              <w:jc w:val="left"/>
            </w:pPr>
            <w:r>
              <w:rPr>
                <w:rFonts w:ascii="Aptos" w:hAnsi="Aptos"/>
                <w:b w:val="0"/>
                <w:i w:val="0"/>
                <w:color w:val="1F2937"/>
                <w:sz w:val="19"/>
              </w:rPr>
              <w:t>Les chiffres précis doivent être finalisés après audit : prix, nombre de chambres, CAPEX restant, autorisations et politique tarifaire.</w:t>
            </w:r>
          </w:p>
        </w:tc>
      </w:tr>
    </w:tbl>
    <w:tbl>
      <w:tblPr>
        <w:tblW w:type="auto" w:w="0"/>
        <w:jc w:val="center"/>
        <w:tblLook w:firstColumn="1" w:firstRow="1" w:lastColumn="0" w:lastRow="0" w:noHBand="0" w:noVBand="1" w:val="04A0"/>
      </w:tblPr>
      <w:tblGrid>
        <w:gridCol w:w="3494"/>
        <w:gridCol w:w="3494"/>
        <w:gridCol w:w="3494"/>
      </w:tblGrid>
      <w:tr>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shd w:fill="7A3F13"/>
          </w:tcPr>
          <w:p>
            <w:r>
              <w:rPr>
                <w:b/>
                <w:color w:val="FFFFFF"/>
              </w:rPr>
              <w:t>Pilier</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shd w:fill="7A3F13"/>
          </w:tcPr>
          <w:p>
            <w:r>
              <w:rPr>
                <w:b/>
                <w:color w:val="FFFFFF"/>
              </w:rPr>
              <w:t>Hypothèse opérationnelle</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shd w:fill="7A3F13"/>
          </w:tcPr>
          <w:p>
            <w:r>
              <w:rPr>
                <w:b/>
                <w:color w:val="FFFFFF"/>
              </w:rPr>
              <w:t>KPI</w:t>
            </w:r>
          </w:p>
        </w:tc>
      </w:tr>
      <w:tr>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Hébergement</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Vente directe + OTA + clientèle locale, MRE, voyageurs d'étape.</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Occupation, ADR, RevPAR</w:t>
            </w:r>
          </w:p>
        </w:tc>
      </w:tr>
      <w:tr>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Rooftop</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Café, brunch, sunset, tapas, événements privés.</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Ticket moyen, couverts, marge</w:t>
            </w:r>
          </w:p>
        </w:tc>
      </w:tr>
      <w:tr>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Digital</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Site, Google Business, WhatsApp, visite 360, SEO local.</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Trafic, demandes, conversion</w:t>
            </w:r>
          </w:p>
        </w:tc>
      </w:tr>
    </w:tbl>
    <w:p>
      <w:pPr>
        <w:spacing w:before="260" w:after="100"/>
        <w:jc w:val="left"/>
      </w:pPr>
      <w:r>
        <w:rPr>
          <w:rFonts w:ascii="Aptos" w:hAnsi="Aptos"/>
          <w:b/>
          <w:i w:val="0"/>
          <w:color w:val="7A3F13"/>
          <w:sz w:val="36"/>
        </w:rPr>
        <w:t>7. Plan de reprise en 90 jours</w:t>
      </w:r>
    </w:p>
    <w:tbl>
      <w:tblPr>
        <w:tblW w:type="auto" w:w="0"/>
        <w:jc w:val="center"/>
        <w:tblLook w:firstColumn="1" w:firstRow="1" w:lastColumn="0" w:lastRow="0" w:noHBand="0" w:noVBand="1" w:val="04A0"/>
      </w:tblPr>
      <w:tblGrid>
        <w:gridCol w:w="3494"/>
        <w:gridCol w:w="3494"/>
        <w:gridCol w:w="3494"/>
      </w:tblGrid>
      <w:tr>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shd w:fill="7A3F13"/>
          </w:tcPr>
          <w:p>
            <w:r>
              <w:rPr>
                <w:b/>
                <w:color w:val="FFFFFF"/>
              </w:rPr>
              <w:t>Phase</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shd w:fill="7A3F13"/>
          </w:tcPr>
          <w:p>
            <w:r>
              <w:rPr>
                <w:b/>
                <w:color w:val="FFFFFF"/>
              </w:rPr>
              <w:t>Objectif</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shd w:fill="7A3F13"/>
          </w:tcPr>
          <w:p>
            <w:r>
              <w:rPr>
                <w:b/>
                <w:color w:val="FFFFFF"/>
              </w:rPr>
              <w:t>Actions</w:t>
            </w:r>
          </w:p>
        </w:tc>
      </w:tr>
      <w:tr>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Jours 1-15</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Audit et sécurisation</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Audit technique, juridique, conformité, sécurité, licences.</w:t>
            </w:r>
          </w:p>
        </w:tc>
      </w:tr>
      <w:tr>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Jours 16-45</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Finitions</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Chambres, éclairage, plomberie, rooftop, cuisine, réception.</w:t>
            </w:r>
          </w:p>
        </w:tc>
      </w:tr>
      <w:tr>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Jours 46-90</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Commercialisation et soft opening</w:t>
            </w:r>
          </w:p>
        </w:tc>
        <w:tc>
          <w:tcPr>
            <w:tcW w:type="dxa" w:w="3494"/>
            <w:vAlign w:val="center"/>
            <w:tcBorders>
              <w:top w:val="single" w:sz="8" w:space="0" w:color="E5E7EB"/>
              <w:left w:val="single" w:sz="8" w:space="0" w:color="E5E7EB"/>
              <w:bottom w:val="single" w:sz="8" w:space="0" w:color="E5E7EB"/>
              <w:right w:val="single" w:sz="8" w:space="0" w:color="E5E7EB"/>
            </w:tcBorders>
            <w:tcMar>
              <w:top w:w="120" w:type="dxa"/>
              <w:start w:w="140" w:type="dxa"/>
              <w:bottom w:w="120" w:type="dxa"/>
              <w:end w:w="140" w:type="dxa"/>
            </w:tcMar>
          </w:tcPr>
          <w:p>
            <w:r>
              <w:t>Photos finales, OTA, Google Business, site, avis clients.</w:t>
            </w:r>
          </w:p>
        </w:tc>
      </w:tr>
    </w:tbl>
    <w:p>
      <w:pPr>
        <w:spacing w:before="260" w:after="100"/>
        <w:jc w:val="left"/>
      </w:pPr>
      <w:r>
        <w:rPr>
          <w:rFonts w:ascii="Aptos" w:hAnsi="Aptos"/>
          <w:b/>
          <w:i w:val="0"/>
          <w:color w:val="7A3F13"/>
          <w:sz w:val="36"/>
        </w:rPr>
        <w:t>8. Argumentaire de vente</w:t>
      </w:r>
    </w:p>
    <w:tbl>
      <w:tblPr>
        <w:tblW w:type="auto" w:w="0"/>
        <w:tblLook w:firstColumn="1" w:firstRow="1" w:lastColumn="0" w:lastRow="0" w:noHBand="0" w:noVBand="1" w:val="04A0"/>
      </w:tblPr>
      <w:tblGrid>
        <w:gridCol w:w="10482"/>
      </w:tblGrid>
      <w:tr>
        <w:tc>
          <w:tcPr>
            <w:tcW w:type="dxa" w:w="10482"/>
            <w:shd w:fill="F7F1E6"/>
            <w:tcBorders>
              <w:top w:val="single" w:sz="10" w:space="0" w:color="D7B56D"/>
              <w:left w:val="single" w:sz="10" w:space="0" w:color="D7B56D"/>
              <w:bottom w:val="single" w:sz="10" w:space="0" w:color="D7B56D"/>
              <w:right w:val="single" w:sz="10" w:space="0" w:color="D7B56D"/>
            </w:tcBorders>
            <w:tcMar>
              <w:top w:w="170" w:type="dxa"/>
              <w:start w:w="220" w:type="dxa"/>
              <w:bottom w:w="170" w:type="dxa"/>
              <w:end w:w="220" w:type="dxa"/>
            </w:tcMar>
          </w:tcPr>
          <w:p>
            <w:pPr>
              <w:jc w:val="left"/>
            </w:pPr>
            <w:r>
              <w:rPr>
                <w:rFonts w:ascii="Aptos" w:hAnsi="Aptos"/>
                <w:b/>
                <w:i w:val="0"/>
                <w:color w:val="7A3F13"/>
                <w:sz w:val="22"/>
              </w:rPr>
              <w:t>Pitch</w:t>
            </w:r>
          </w:p>
          <w:p>
            <w:pPr>
              <w:jc w:val="left"/>
            </w:pPr>
            <w:r>
              <w:rPr>
                <w:rFonts w:ascii="Aptos" w:hAnsi="Aptos"/>
                <w:b w:val="0"/>
                <w:i w:val="0"/>
                <w:color w:val="1F2937"/>
                <w:sz w:val="19"/>
              </w:rPr>
              <w:t>Hôtel Mimosas est une opportunité de reprise d'un actif hôtelier à fort potentiel à Tiznit : un projet déjà identifiable, doté d'un rooftop, d'espaces restaurant, d'une identité visuelle, d'un site multilingue, d'une visite virtuelle 360 et d'un storytelling territorial. Le repreneur ne part pas d'une page blanche : il reprend une base avancée, finalise les derniers travaux, structure l'exploitation et capte la valeur d'un hôtel indépendant dans une ville patrimoniale entre médina, Anti-Atlas et littoral d'Aglou.</w:t>
            </w:r>
          </w:p>
        </w:tc>
      </w:tr>
    </w:tbl>
    <w:p>
      <w:pPr>
        <w:pStyle w:val="ListBullet"/>
        <w:spacing w:after="60"/>
        <w:jc w:val="left"/>
      </w:pPr>
      <w:r>
        <w:rPr>
          <w:rFonts w:ascii="Aptos" w:hAnsi="Aptos"/>
          <w:b w:val="0"/>
          <w:i w:val="0"/>
          <w:color w:val="1F2937"/>
          <w:sz w:val="19"/>
        </w:rPr>
        <w:t>Actif tangible : photos, espaces et identité déjà visibles.</w:t>
      </w:r>
    </w:p>
    <w:p>
      <w:pPr>
        <w:pStyle w:val="ListBullet"/>
        <w:spacing w:after="60"/>
        <w:jc w:val="left"/>
      </w:pPr>
      <w:r>
        <w:rPr>
          <w:rFonts w:ascii="Aptos" w:hAnsi="Aptos"/>
          <w:b w:val="0"/>
          <w:i w:val="0"/>
          <w:color w:val="1F2937"/>
          <w:sz w:val="19"/>
        </w:rPr>
        <w:t>Potentiel d'exploitation multiple : chambres, rooftop, restaurant, événements, expériences locales.</w:t>
      </w:r>
    </w:p>
    <w:p>
      <w:pPr>
        <w:pStyle w:val="ListBullet"/>
        <w:spacing w:after="60"/>
        <w:jc w:val="left"/>
      </w:pPr>
      <w:r>
        <w:rPr>
          <w:rFonts w:ascii="Aptos" w:hAnsi="Aptos"/>
          <w:b w:val="0"/>
          <w:i w:val="0"/>
          <w:color w:val="1F2937"/>
          <w:sz w:val="19"/>
        </w:rPr>
        <w:t>Outils commerciaux prêts : site multilingue, cartes, points d'intérêt, galerie et visite 360.</w:t>
      </w:r>
    </w:p>
    <w:p>
      <w:pPr>
        <w:spacing w:before="260" w:after="100"/>
        <w:jc w:val="left"/>
      </w:pPr>
      <w:r>
        <w:rPr>
          <w:rFonts w:ascii="Aptos" w:hAnsi="Aptos"/>
          <w:b/>
          <w:i w:val="0"/>
          <w:color w:val="7A3F13"/>
          <w:sz w:val="36"/>
        </w:rPr>
        <w:t>9. Points de vigilance pour l'acheteur</w:t>
      </w:r>
    </w:p>
    <w:p>
      <w:pPr>
        <w:pStyle w:val="ListBullet"/>
        <w:spacing w:after="60"/>
        <w:jc w:val="left"/>
      </w:pPr>
      <w:r>
        <w:rPr>
          <w:rFonts w:ascii="Aptos" w:hAnsi="Aptos"/>
          <w:b w:val="0"/>
          <w:i w:val="0"/>
          <w:color w:val="1F2937"/>
          <w:sz w:val="19"/>
        </w:rPr>
        <w:t>Confirmer le nombre exact de chambres exploitables, surfaces, capacité rooftop et capacité restaurant.</w:t>
      </w:r>
    </w:p>
    <w:p>
      <w:pPr>
        <w:pStyle w:val="ListBullet"/>
        <w:spacing w:after="60"/>
        <w:jc w:val="left"/>
      </w:pPr>
      <w:r>
        <w:rPr>
          <w:rFonts w:ascii="Aptos" w:hAnsi="Aptos"/>
          <w:b w:val="0"/>
          <w:i w:val="0"/>
          <w:color w:val="1F2937"/>
          <w:sz w:val="19"/>
        </w:rPr>
        <w:t>Chiffrer le CAPEX restant par lot : sécurité, plomberie, électricité, mobilier, cuisine, enseigne, accessibilité, classement.</w:t>
      </w:r>
    </w:p>
    <w:p>
      <w:pPr>
        <w:pStyle w:val="ListBullet"/>
        <w:spacing w:after="60"/>
        <w:jc w:val="left"/>
      </w:pPr>
      <w:r>
        <w:rPr>
          <w:rFonts w:ascii="Aptos" w:hAnsi="Aptos"/>
          <w:b w:val="0"/>
          <w:i w:val="0"/>
          <w:color w:val="1F2937"/>
          <w:sz w:val="19"/>
        </w:rPr>
        <w:t>Vérifier les autorisations, licences, conformité ERP/hôtel, assurance, fiscalité et statut foncier.</w:t>
      </w:r>
    </w:p>
    <w:p>
      <w:pPr>
        <w:spacing w:before="260" w:after="100"/>
        <w:jc w:val="left"/>
      </w:pPr>
      <w:r>
        <w:rPr>
          <w:rFonts w:ascii="Aptos" w:hAnsi="Aptos"/>
          <w:b/>
          <w:i w:val="0"/>
          <w:color w:val="7A3F13"/>
          <w:sz w:val="36"/>
        </w:rPr>
        <w:t>10. Conclusion</w:t>
      </w:r>
    </w:p>
    <w:p>
      <w:pPr>
        <w:spacing w:after="100" w:line="259" w:lineRule="auto"/>
        <w:jc w:val="left"/>
      </w:pPr>
      <w:r>
        <w:rPr>
          <w:rFonts w:ascii="Aptos" w:hAnsi="Aptos"/>
          <w:b w:val="0"/>
          <w:i w:val="0"/>
          <w:color w:val="1F2937"/>
          <w:sz w:val="20"/>
        </w:rPr>
        <w:t>La valeur de Mimosas se joue dans la conversion d'un projet avancé en actif exploité. Le repreneur idéal n'achète pas seulement des murs ou des finitions : il achète une adresse, une marque, des espaces à potentiel, un rooftop différenciant, une base digitale et un récit touristique local prêt à être renforcé.</w:t>
      </w:r>
    </w:p>
    <w:p>
      <w:pPr>
        <w:spacing w:before="260" w:after="100"/>
        <w:jc w:val="left"/>
      </w:pPr>
      <w:r>
        <w:rPr>
          <w:rFonts w:ascii="Aptos" w:hAnsi="Aptos"/>
          <w:b/>
          <w:i w:val="0"/>
          <w:color w:val="7A3F13"/>
          <w:sz w:val="36"/>
        </w:rPr>
        <w:t>Sources</w:t>
      </w:r>
    </w:p>
    <w:p>
      <w:pPr>
        <w:pStyle w:val="ListBullet"/>
        <w:spacing w:after="60"/>
        <w:jc w:val="left"/>
      </w:pPr>
      <w:r>
        <w:rPr>
          <w:rFonts w:ascii="Aptos" w:hAnsi="Aptos"/>
          <w:b w:val="0"/>
          <w:i w:val="0"/>
          <w:color w:val="1F2937"/>
          <w:sz w:val="19"/>
        </w:rPr>
        <w:t>Ministère du Tourisme du Maroc - chiffres clés 2025</w:t>
      </w:r>
    </w:p>
    <w:p>
      <w:pPr>
        <w:pStyle w:val="ListBullet"/>
        <w:spacing w:after="60"/>
        <w:jc w:val="left"/>
      </w:pPr>
      <w:r>
        <w:rPr>
          <w:rFonts w:ascii="Aptos" w:hAnsi="Aptos"/>
          <w:b w:val="0"/>
          <w:i w:val="0"/>
          <w:color w:val="1F2937"/>
          <w:sz w:val="19"/>
        </w:rPr>
        <w:t>Visit Agadir / Souss Massa - Tiznit et Aglou</w:t>
      </w:r>
    </w:p>
    <w:p>
      <w:pPr>
        <w:pStyle w:val="ListBullet"/>
        <w:spacing w:after="60"/>
        <w:jc w:val="left"/>
      </w:pPr>
      <w:r>
        <w:rPr>
          <w:rFonts w:ascii="Aptos" w:hAnsi="Aptos"/>
          <w:b w:val="0"/>
          <w:i w:val="0"/>
          <w:color w:val="1F2937"/>
          <w:sz w:val="19"/>
        </w:rPr>
        <w:t>Données internes Mimosas - galerie, site, visite 360, data/projects.json</w:t>
      </w:r>
    </w:p>
    <w:sectPr w:rsidR="00FC693F" w:rsidRPr="0006063C" w:rsidSect="00034616">
      <w:pgSz w:w="12240" w:h="15840"/>
      <w:pgMar w:top="822" w:right="879" w:bottom="822"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Hôtel Mimosas</dc:title>
  <dc:subject>Rapport investisseur, business plan synthétique et argumentaire de cession</dc:subject>
  <dc:creator>Hotel Mimosas</dc:creator>
  <cp:keywords/>
  <dc:description>generated by python-docx</dc:description>
  <cp:lastModifiedBy/>
  <cp:revision>1</cp:revision>
  <dcterms:created xsi:type="dcterms:W3CDTF">2013-12-23T23:15:00Z</dcterms:created>
  <dcterms:modified xsi:type="dcterms:W3CDTF">2013-12-23T23:15:00Z</dcterms:modified>
  <cp:category/>
</cp:coreProperties>
</file>