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Slide 1: Introduction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Title: Introduction to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(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) and SQL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Content: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Brief overview of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(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) and SQL databases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Introduce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as a leading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database and SQL as a traditional relational database management system (RDBMS)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Highlight the importance of database selection in application development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Slide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2: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- The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Database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Title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- A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Database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Content: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Explain the concept of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databases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Introduce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Schema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-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less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document-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oriented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database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JSON-like documents stored in collections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Scalable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and flexible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Ideal for unstructured or semi-structured data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Provide examples of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use cases (e.g., content management, real-time analytics)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lastRenderedPageBreak/>
        <w:t>Slide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3: SQL - The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Relational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Database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Title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: SQL - A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Relational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Database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Content: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Overview of relational databases and SQL: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Structured data model with tables, rows, and columns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Defined schema with strict data integrity constraints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ACID (Atomicity, Consistency, Isolation, Durability) properties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Introduce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SQL: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Standardized query language for relational databases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Widely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used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in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enterprise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applications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Ideal for structured data with complex relationships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Provide examples of SQL use cases (e.g., transaction processing, reporting)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Slide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4: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Comparison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Title: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vs. SQL - A Comparison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Content: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Compare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and SQL based on key factors: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Data Model: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lastRenderedPageBreak/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 Document-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oriented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,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schema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-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less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SQL: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Relational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,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structured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Scalability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: Horizontal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scaling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,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distributed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architecture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SQL: Vertical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scaling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,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limited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scalability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Flexibility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: Dynamic schema, flexible data representation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SQL: Static schema, rigid data structure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Query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Language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 JSON-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based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queries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SQL: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Structured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Query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Language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Transactions: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: Limited support for multi-document transactions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SQL: Full ACID compliance, robust transaction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managemen</w:t>
      </w:r>
      <w:proofErr w:type="spellEnd"/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Slide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 xml:space="preserve"> 5: Conclusion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Title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: Conclusion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eastAsia="fr-FR"/>
        </w:rPr>
        <w:t>Content: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lastRenderedPageBreak/>
        <w:t xml:space="preserve">Summarize the key differences between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and SQL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Highlight the importance of choosing the right database based on project requirements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Encourage further exploration and consideration of database options based on specific use cases and scalability needs</w:t>
      </w:r>
    </w:p>
    <w:p w:rsidR="007A772A" w:rsidRPr="007A772A" w:rsidRDefault="007A772A" w:rsidP="007A772A">
      <w:pPr>
        <w:pStyle w:val="Titre1"/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</w:pPr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These slides provide a structured comparison between 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MongoDB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 xml:space="preserve"> (</w:t>
      </w:r>
      <w:proofErr w:type="spellStart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NoSQL</w:t>
      </w:r>
      <w:proofErr w:type="spellEnd"/>
      <w:r w:rsidRPr="007A772A">
        <w:rPr>
          <w:rFonts w:ascii="Algerian" w:eastAsia="Times New Roman" w:hAnsi="Algerian"/>
          <w:b w:val="0"/>
          <w:i/>
          <w:color w:val="0D0D0D" w:themeColor="text1" w:themeTint="F2"/>
          <w:sz w:val="22"/>
          <w:szCs w:val="22"/>
          <w:u w:val="single"/>
          <w:lang w:val="en-US" w:eastAsia="fr-FR"/>
        </w:rPr>
        <w:t>) and SQL (relational) databases, covering their functionalities, features, and use cases.</w:t>
      </w:r>
    </w:p>
    <w:p w:rsidR="00A04C27" w:rsidRPr="007A772A" w:rsidRDefault="00A04C27" w:rsidP="007A772A">
      <w:pPr>
        <w:pStyle w:val="Titre1"/>
        <w:rPr>
          <w:rFonts w:ascii="Algerian" w:hAnsi="Algerian"/>
          <w:b w:val="0"/>
          <w:i/>
          <w:color w:val="0D0D0D" w:themeColor="text1" w:themeTint="F2"/>
          <w:sz w:val="22"/>
          <w:szCs w:val="22"/>
          <w:u w:val="single"/>
          <w:lang w:val="en-US"/>
        </w:rPr>
      </w:pPr>
    </w:p>
    <w:sectPr w:rsidR="00A04C27" w:rsidRPr="007A772A" w:rsidSect="00A0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636D"/>
    <w:multiLevelType w:val="multilevel"/>
    <w:tmpl w:val="27C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397FBA"/>
    <w:multiLevelType w:val="multilevel"/>
    <w:tmpl w:val="CE9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B53040"/>
    <w:multiLevelType w:val="multilevel"/>
    <w:tmpl w:val="AD76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8C3D70"/>
    <w:multiLevelType w:val="multilevel"/>
    <w:tmpl w:val="883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4564B8"/>
    <w:multiLevelType w:val="multilevel"/>
    <w:tmpl w:val="4C6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72A"/>
    <w:rsid w:val="007A772A"/>
    <w:rsid w:val="00A0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27"/>
  </w:style>
  <w:style w:type="paragraph" w:styleId="Titre1">
    <w:name w:val="heading 1"/>
    <w:basedOn w:val="Normal"/>
    <w:next w:val="Normal"/>
    <w:link w:val="Titre1Car"/>
    <w:uiPriority w:val="9"/>
    <w:qFormat/>
    <w:rsid w:val="007A7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7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772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7A7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A7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A7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7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7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77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7A77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naoue</dc:creator>
  <cp:lastModifiedBy>naoue</cp:lastModifiedBy>
  <cp:revision>1</cp:revision>
  <dcterms:created xsi:type="dcterms:W3CDTF">2024-04-26T15:48:00Z</dcterms:created>
  <dcterms:modified xsi:type="dcterms:W3CDTF">2024-04-26T15:52:00Z</dcterms:modified>
</cp:coreProperties>
</file>