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09CFE" w14:textId="77777777" w:rsidR="00AF1D3B" w:rsidRPr="00AF1D3B" w:rsidRDefault="00AF1D3B" w:rsidP="00AF1D3B">
      <w:pPr>
        <w:pStyle w:val="NormalWeb"/>
        <w:rPr>
          <w:b/>
          <w:bCs/>
        </w:rPr>
      </w:pPr>
      <w:r w:rsidRPr="00AF1D3B">
        <w:rPr>
          <w:b/>
          <w:bCs/>
        </w:rPr>
        <w:t>MEETING MINUTES</w:t>
      </w:r>
      <w:r w:rsidRPr="00AF1D3B">
        <w:rPr>
          <w:b/>
          <w:bCs/>
        </w:rPr>
        <w:br/>
        <w:t>ERP Post-Go-Live &amp; Data Integrity Audit – Entry Meeting</w:t>
      </w:r>
    </w:p>
    <w:p w14:paraId="69B3A386" w14:textId="354F68AF" w:rsidR="00AF1D3B" w:rsidRDefault="00AF1D3B" w:rsidP="00AF1D3B">
      <w:pPr>
        <w:pStyle w:val="NormalWeb"/>
      </w:pPr>
      <w:r w:rsidRPr="00AF1D3B">
        <w:rPr>
          <w:b/>
          <w:bCs/>
        </w:rPr>
        <w:t>Date</w:t>
      </w:r>
      <w:r>
        <w:t>: 3 February 2026</w:t>
      </w:r>
      <w:r>
        <w:br/>
      </w:r>
      <w:r w:rsidRPr="00AF1D3B">
        <w:rPr>
          <w:b/>
          <w:bCs/>
        </w:rPr>
        <w:t>Meeting Type</w:t>
      </w:r>
      <w:r>
        <w:t>: Entry Meeting</w:t>
      </w:r>
      <w:r>
        <w:br/>
      </w:r>
      <w:r w:rsidRPr="00AF1D3B">
        <w:rPr>
          <w:b/>
          <w:bCs/>
        </w:rPr>
        <w:t>Mode</w:t>
      </w:r>
      <w:r>
        <w:t>: Virtual</w:t>
      </w:r>
    </w:p>
    <w:p w14:paraId="1F12021C" w14:textId="77777777" w:rsidR="00AF1D3B" w:rsidRDefault="00AF1D3B" w:rsidP="00AF1D3B">
      <w:pPr>
        <w:pStyle w:val="NormalWeb"/>
      </w:pPr>
      <w:r w:rsidRPr="00AF1D3B">
        <w:rPr>
          <w:b/>
          <w:bCs/>
        </w:rPr>
        <w:t>Purpose of the Meeting:</w:t>
      </w:r>
      <w:r>
        <w:br/>
        <w:t>The meeting marked the formal entry meeting for the ERP Post-Go-Live &amp; Data Integrity Audit. The objective was to outline the scope of the audit, clarify expectations, agree on key information requests, and align on engagement and coordination arrangements between Internal Audit and ICT.</w:t>
      </w:r>
    </w:p>
    <w:p w14:paraId="10E79CBB" w14:textId="77777777" w:rsidR="00AF1D3B" w:rsidRPr="00AF1D3B" w:rsidRDefault="00AF1D3B" w:rsidP="00AF1D3B">
      <w:pPr>
        <w:pStyle w:val="NormalWeb"/>
        <w:rPr>
          <w:b/>
          <w:bCs/>
        </w:rPr>
      </w:pPr>
      <w:r w:rsidRPr="00AF1D3B">
        <w:rPr>
          <w:b/>
          <w:bCs/>
        </w:rPr>
        <w:t>Summary of Discussions:</w:t>
      </w:r>
    </w:p>
    <w:p w14:paraId="20745A06" w14:textId="2CE081C5" w:rsidR="00AF1D3B" w:rsidRDefault="00AF1D3B" w:rsidP="00AF1D3B">
      <w:pPr>
        <w:pStyle w:val="NormalWeb"/>
      </w:pPr>
      <w:r>
        <w:t>Internal Audit</w:t>
      </w:r>
      <w:r>
        <w:t xml:space="preserve"> outlined that the audit will focus on the post-go-live status of the ERP system, with particular emphasis on the adequacy and effectiveness of system controls, identification of improvement areas, and understanding the current operational status of the ERP. The audit will also provide a control status update and advisory support where necessary.</w:t>
      </w:r>
    </w:p>
    <w:p w14:paraId="2AAE527A" w14:textId="77777777" w:rsidR="00AF1D3B" w:rsidRDefault="00AF1D3B" w:rsidP="00AF1D3B">
      <w:pPr>
        <w:pStyle w:val="NormalWeb"/>
      </w:pPr>
      <w:r>
        <w:t>It was agreed that Robert Gitonga will act as the primary point of contact for the engagement.</w:t>
      </w:r>
    </w:p>
    <w:p w14:paraId="7C9ED1EE" w14:textId="77777777" w:rsidR="00AF1D3B" w:rsidRDefault="00AF1D3B" w:rsidP="00AF1D3B">
      <w:pPr>
        <w:pStyle w:val="NormalWeb"/>
      </w:pPr>
      <w:r>
        <w:t>Internal Audit requested key foundational ICT documents to support the audit, specifically the ICT Strategy and ICT Risk Register, noting their relevance given the Society’s ongoing digital transformation agenda. Robert indicated he does not currently hold these documents but will follow up with Tariq to confirm availability.</w:t>
      </w:r>
    </w:p>
    <w:p w14:paraId="73E89FD4" w14:textId="635550C2" w:rsidR="00AF1D3B" w:rsidRDefault="00AF1D3B" w:rsidP="00AF1D3B">
      <w:pPr>
        <w:pStyle w:val="NormalWeb"/>
      </w:pPr>
      <w:r>
        <w:t>Audit</w:t>
      </w:r>
      <w:r>
        <w:t xml:space="preserve"> further requested a copy of a third-party assessment report related to ERP integration, noting that a similar review planned by Internal Audit the previous year was deferred due to the existence of this external review. Robert confirmed that Tariq was responsible for that engagement and committed to following up and advising on availability.</w:t>
      </w:r>
    </w:p>
    <w:p w14:paraId="3E487855" w14:textId="77777777" w:rsidR="00AF1D3B" w:rsidRDefault="00AF1D3B" w:rsidP="00AF1D3B">
      <w:pPr>
        <w:pStyle w:val="NormalWeb"/>
      </w:pPr>
      <w:r>
        <w:t>An updated ICT Asset Register covering both hardware and software was also requested. Robert advised that he would engage Jeff to obtain the updated register.</w:t>
      </w:r>
    </w:p>
    <w:p w14:paraId="7D3D3981" w14:textId="13D08539" w:rsidR="00AF1D3B" w:rsidRDefault="00AF1D3B" w:rsidP="00AF1D3B">
      <w:pPr>
        <w:pStyle w:val="NormalWeb"/>
      </w:pPr>
      <w:r>
        <w:t xml:space="preserve">In terms of audit execution, </w:t>
      </w:r>
      <w:r>
        <w:t>Audit</w:t>
      </w:r>
      <w:r>
        <w:t xml:space="preserve"> indicated that fieldwork would commence immediately, including one-on-one interviews and walkthroughs. He specifically requested restoration or provision of ERP view-only access rights similar to those held in the legacy system, as current access is limited and constrains audit work.</w:t>
      </w:r>
    </w:p>
    <w:p w14:paraId="30D407E5" w14:textId="48DA104E" w:rsidR="00AF1D3B" w:rsidRDefault="00AF1D3B" w:rsidP="00AF1D3B">
      <w:pPr>
        <w:pStyle w:val="NormalWeb"/>
      </w:pPr>
      <w:r>
        <w:t xml:space="preserve">Internal Audit also requested the customization of specific ERP reports for audit and senior management use. </w:t>
      </w:r>
      <w:r>
        <w:t>Audit</w:t>
      </w:r>
      <w:r>
        <w:t xml:space="preserve"> committed to sharing detailed report requirements with ICT to guide configuration.</w:t>
      </w:r>
    </w:p>
    <w:p w14:paraId="513FA3BF" w14:textId="77777777" w:rsidR="00AF1D3B" w:rsidRDefault="00AF1D3B" w:rsidP="00AF1D3B">
      <w:pPr>
        <w:pStyle w:val="NormalWeb"/>
      </w:pPr>
      <w:r>
        <w:lastRenderedPageBreak/>
        <w:t>Robert informed the meeting that ICT will begin Phase Two of the ERP initiative starting the following week, focusing on organization-wide requirements gathering. Internal Audit, Risk, and Compliance will be included as stakeholders in this exercise.</w:t>
      </w:r>
    </w:p>
    <w:p w14:paraId="1179C223" w14:textId="45C33EB6" w:rsidR="00AF1D3B" w:rsidRDefault="00AF1D3B" w:rsidP="00AF1D3B">
      <w:pPr>
        <w:pStyle w:val="NormalWeb"/>
      </w:pPr>
      <w:r>
        <w:t>Internal Audit</w:t>
      </w:r>
      <w:r>
        <w:t xml:space="preserve"> proposed to</w:t>
      </w:r>
      <w:r>
        <w:t xml:space="preserve"> be involved in or at least notified of requirements-gathering sessions with key departments such as Finance, Procurement, and Fleet, to allow early identification of control and risk issues rather than post-implementation audit findings. This proposal was agreed to, with ICT confirming openness to Internal Audit’s participation.</w:t>
      </w:r>
    </w:p>
    <w:p w14:paraId="071973D6" w14:textId="77777777" w:rsidR="00AF1D3B" w:rsidRDefault="00AF1D3B" w:rsidP="00AF1D3B">
      <w:pPr>
        <w:pStyle w:val="NormalWeb"/>
      </w:pPr>
      <w:r>
        <w:t>The meeting concluded with agreement on cooperation, documentation-based communication going forward, and commencement of audit fieldwork.</w:t>
      </w:r>
    </w:p>
    <w:p w14:paraId="18ABBE03" w14:textId="3D7F89A0" w:rsidR="00AF1D3B" w:rsidRPr="00AF1D3B" w:rsidRDefault="00AF1D3B">
      <w:pPr>
        <w:rPr>
          <w:rFonts w:ascii="Times New Roman" w:hAnsi="Times New Roman" w:cs="Times New Roman"/>
          <w:b/>
          <w:bCs/>
        </w:rPr>
      </w:pPr>
      <w:r w:rsidRPr="00AF1D3B">
        <w:rPr>
          <w:rFonts w:ascii="Times New Roman" w:hAnsi="Times New Roman" w:cs="Times New Roman"/>
          <w:b/>
          <w:bCs/>
        </w:rPr>
        <w:t xml:space="preserve">Action Items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326"/>
        <w:gridCol w:w="1653"/>
        <w:gridCol w:w="1305"/>
        <w:gridCol w:w="2617"/>
      </w:tblGrid>
      <w:tr w:rsidR="00AF1D3B" w:rsidRPr="00AF1D3B" w14:paraId="4F5E743B" w14:textId="77777777" w:rsidTr="00AF1D3B">
        <w:trPr>
          <w:tblHeader/>
          <w:tblCellSpacing w:w="15" w:type="dxa"/>
        </w:trPr>
        <w:tc>
          <w:tcPr>
            <w:tcW w:w="0" w:type="auto"/>
            <w:vAlign w:val="center"/>
            <w:hideMark/>
          </w:tcPr>
          <w:p w14:paraId="1884497D" w14:textId="77777777" w:rsidR="00AF1D3B" w:rsidRPr="00AF1D3B" w:rsidRDefault="00AF1D3B" w:rsidP="00AF1D3B">
            <w:pPr>
              <w:spacing w:after="0" w:line="240" w:lineRule="auto"/>
              <w:jc w:val="center"/>
              <w:rPr>
                <w:rFonts w:ascii="Times New Roman" w:eastAsia="Times New Roman" w:hAnsi="Times New Roman" w:cs="Times New Roman"/>
                <w:b/>
                <w:bCs/>
                <w:kern w:val="0"/>
                <w14:ligatures w14:val="none"/>
              </w:rPr>
            </w:pPr>
            <w:r w:rsidRPr="00AF1D3B">
              <w:rPr>
                <w:rFonts w:ascii="Times New Roman" w:eastAsia="Times New Roman" w:hAnsi="Times New Roman" w:cs="Times New Roman"/>
                <w:b/>
                <w:bCs/>
                <w:kern w:val="0"/>
                <w14:ligatures w14:val="none"/>
              </w:rPr>
              <w:t>No.</w:t>
            </w:r>
          </w:p>
        </w:tc>
        <w:tc>
          <w:tcPr>
            <w:tcW w:w="0" w:type="auto"/>
            <w:vAlign w:val="center"/>
            <w:hideMark/>
          </w:tcPr>
          <w:p w14:paraId="26040EF0" w14:textId="77777777" w:rsidR="00AF1D3B" w:rsidRPr="00AF1D3B" w:rsidRDefault="00AF1D3B" w:rsidP="00AF1D3B">
            <w:pPr>
              <w:spacing w:after="0" w:line="240" w:lineRule="auto"/>
              <w:jc w:val="center"/>
              <w:rPr>
                <w:rFonts w:ascii="Times New Roman" w:eastAsia="Times New Roman" w:hAnsi="Times New Roman" w:cs="Times New Roman"/>
                <w:b/>
                <w:bCs/>
                <w:kern w:val="0"/>
                <w14:ligatures w14:val="none"/>
              </w:rPr>
            </w:pPr>
            <w:r w:rsidRPr="00AF1D3B">
              <w:rPr>
                <w:rFonts w:ascii="Times New Roman" w:eastAsia="Times New Roman" w:hAnsi="Times New Roman" w:cs="Times New Roman"/>
                <w:b/>
                <w:bCs/>
                <w:kern w:val="0"/>
                <w14:ligatures w14:val="none"/>
              </w:rPr>
              <w:t>Action Item</w:t>
            </w:r>
          </w:p>
        </w:tc>
        <w:tc>
          <w:tcPr>
            <w:tcW w:w="0" w:type="auto"/>
            <w:vAlign w:val="center"/>
            <w:hideMark/>
          </w:tcPr>
          <w:p w14:paraId="04BDCE74" w14:textId="77777777" w:rsidR="00AF1D3B" w:rsidRPr="00AF1D3B" w:rsidRDefault="00AF1D3B" w:rsidP="00AF1D3B">
            <w:pPr>
              <w:spacing w:after="0" w:line="240" w:lineRule="auto"/>
              <w:jc w:val="center"/>
              <w:rPr>
                <w:rFonts w:ascii="Times New Roman" w:eastAsia="Times New Roman" w:hAnsi="Times New Roman" w:cs="Times New Roman"/>
                <w:b/>
                <w:bCs/>
                <w:kern w:val="0"/>
                <w14:ligatures w14:val="none"/>
              </w:rPr>
            </w:pPr>
            <w:r w:rsidRPr="00AF1D3B">
              <w:rPr>
                <w:rFonts w:ascii="Times New Roman" w:eastAsia="Times New Roman" w:hAnsi="Times New Roman" w:cs="Times New Roman"/>
                <w:b/>
                <w:bCs/>
                <w:kern w:val="0"/>
                <w14:ligatures w14:val="none"/>
              </w:rPr>
              <w:t>Responsible</w:t>
            </w:r>
          </w:p>
        </w:tc>
        <w:tc>
          <w:tcPr>
            <w:tcW w:w="0" w:type="auto"/>
            <w:vAlign w:val="center"/>
            <w:hideMark/>
          </w:tcPr>
          <w:p w14:paraId="00A5F3A3" w14:textId="77777777" w:rsidR="00AF1D3B" w:rsidRPr="00AF1D3B" w:rsidRDefault="00AF1D3B" w:rsidP="00AF1D3B">
            <w:pPr>
              <w:spacing w:after="0" w:line="240" w:lineRule="auto"/>
              <w:jc w:val="center"/>
              <w:rPr>
                <w:rFonts w:ascii="Times New Roman" w:eastAsia="Times New Roman" w:hAnsi="Times New Roman" w:cs="Times New Roman"/>
                <w:b/>
                <w:bCs/>
                <w:kern w:val="0"/>
                <w14:ligatures w14:val="none"/>
              </w:rPr>
            </w:pPr>
            <w:r w:rsidRPr="00AF1D3B">
              <w:rPr>
                <w:rFonts w:ascii="Times New Roman" w:eastAsia="Times New Roman" w:hAnsi="Times New Roman" w:cs="Times New Roman"/>
                <w:b/>
                <w:bCs/>
                <w:kern w:val="0"/>
                <w14:ligatures w14:val="none"/>
              </w:rPr>
              <w:t>Due / Timeline</w:t>
            </w:r>
          </w:p>
        </w:tc>
        <w:tc>
          <w:tcPr>
            <w:tcW w:w="0" w:type="auto"/>
            <w:vAlign w:val="center"/>
            <w:hideMark/>
          </w:tcPr>
          <w:p w14:paraId="7980703B" w14:textId="77777777" w:rsidR="00AF1D3B" w:rsidRPr="00AF1D3B" w:rsidRDefault="00AF1D3B" w:rsidP="00AF1D3B">
            <w:pPr>
              <w:spacing w:after="0" w:line="240" w:lineRule="auto"/>
              <w:jc w:val="center"/>
              <w:rPr>
                <w:rFonts w:ascii="Times New Roman" w:eastAsia="Times New Roman" w:hAnsi="Times New Roman" w:cs="Times New Roman"/>
                <w:b/>
                <w:bCs/>
                <w:kern w:val="0"/>
                <w14:ligatures w14:val="none"/>
              </w:rPr>
            </w:pPr>
            <w:r w:rsidRPr="00AF1D3B">
              <w:rPr>
                <w:rFonts w:ascii="Times New Roman" w:eastAsia="Times New Roman" w:hAnsi="Times New Roman" w:cs="Times New Roman"/>
                <w:b/>
                <w:bCs/>
                <w:kern w:val="0"/>
                <w14:ligatures w14:val="none"/>
              </w:rPr>
              <w:t>Remarks</w:t>
            </w:r>
          </w:p>
        </w:tc>
      </w:tr>
      <w:tr w:rsidR="00AF1D3B" w:rsidRPr="00AF1D3B" w14:paraId="1D778EC1" w14:textId="77777777" w:rsidTr="00AF1D3B">
        <w:trPr>
          <w:tblCellSpacing w:w="15" w:type="dxa"/>
        </w:trPr>
        <w:tc>
          <w:tcPr>
            <w:tcW w:w="0" w:type="auto"/>
            <w:vAlign w:val="center"/>
            <w:hideMark/>
          </w:tcPr>
          <w:p w14:paraId="759DD6EB"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1</w:t>
            </w:r>
          </w:p>
        </w:tc>
        <w:tc>
          <w:tcPr>
            <w:tcW w:w="0" w:type="auto"/>
            <w:vAlign w:val="center"/>
            <w:hideMark/>
          </w:tcPr>
          <w:p w14:paraId="434AED42"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Confirm availability and share ICT Strategy and ICT Risk Register</w:t>
            </w:r>
          </w:p>
        </w:tc>
        <w:tc>
          <w:tcPr>
            <w:tcW w:w="0" w:type="auto"/>
            <w:vAlign w:val="center"/>
            <w:hideMark/>
          </w:tcPr>
          <w:p w14:paraId="2C7CC86E"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Robert Gitonga (via Tariq)</w:t>
            </w:r>
          </w:p>
        </w:tc>
        <w:tc>
          <w:tcPr>
            <w:tcW w:w="0" w:type="auto"/>
            <w:vAlign w:val="center"/>
            <w:hideMark/>
          </w:tcPr>
          <w:p w14:paraId="4A21FA6E"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To advise</w:t>
            </w:r>
          </w:p>
        </w:tc>
        <w:tc>
          <w:tcPr>
            <w:tcW w:w="0" w:type="auto"/>
            <w:vAlign w:val="center"/>
            <w:hideMark/>
          </w:tcPr>
          <w:p w14:paraId="149118F8"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Required to support audit planning and risk assessment</w:t>
            </w:r>
          </w:p>
        </w:tc>
      </w:tr>
      <w:tr w:rsidR="00AF1D3B" w:rsidRPr="00AF1D3B" w14:paraId="0438C1AA" w14:textId="77777777" w:rsidTr="00AF1D3B">
        <w:trPr>
          <w:tblCellSpacing w:w="15" w:type="dxa"/>
        </w:trPr>
        <w:tc>
          <w:tcPr>
            <w:tcW w:w="0" w:type="auto"/>
            <w:vAlign w:val="center"/>
            <w:hideMark/>
          </w:tcPr>
          <w:p w14:paraId="0EAC3F7C"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2</w:t>
            </w:r>
          </w:p>
        </w:tc>
        <w:tc>
          <w:tcPr>
            <w:tcW w:w="0" w:type="auto"/>
            <w:vAlign w:val="center"/>
            <w:hideMark/>
          </w:tcPr>
          <w:p w14:paraId="010C2276"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Obtain and share third-party ERP integration assessment report</w:t>
            </w:r>
          </w:p>
        </w:tc>
        <w:tc>
          <w:tcPr>
            <w:tcW w:w="0" w:type="auto"/>
            <w:vAlign w:val="center"/>
            <w:hideMark/>
          </w:tcPr>
          <w:p w14:paraId="4992B500"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Robert Gitonga (via Tariq)</w:t>
            </w:r>
          </w:p>
        </w:tc>
        <w:tc>
          <w:tcPr>
            <w:tcW w:w="0" w:type="auto"/>
            <w:vAlign w:val="center"/>
            <w:hideMark/>
          </w:tcPr>
          <w:p w14:paraId="1C369A51"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To advise</w:t>
            </w:r>
          </w:p>
        </w:tc>
        <w:tc>
          <w:tcPr>
            <w:tcW w:w="0" w:type="auto"/>
            <w:vAlign w:val="center"/>
            <w:hideMark/>
          </w:tcPr>
          <w:p w14:paraId="75CAE825"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To avoid duplication and leverage existing assurance work</w:t>
            </w:r>
          </w:p>
        </w:tc>
      </w:tr>
      <w:tr w:rsidR="00AF1D3B" w:rsidRPr="00AF1D3B" w14:paraId="1700E146" w14:textId="77777777" w:rsidTr="00AF1D3B">
        <w:trPr>
          <w:tblCellSpacing w:w="15" w:type="dxa"/>
        </w:trPr>
        <w:tc>
          <w:tcPr>
            <w:tcW w:w="0" w:type="auto"/>
            <w:vAlign w:val="center"/>
            <w:hideMark/>
          </w:tcPr>
          <w:p w14:paraId="106A51BB"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3</w:t>
            </w:r>
          </w:p>
        </w:tc>
        <w:tc>
          <w:tcPr>
            <w:tcW w:w="0" w:type="auto"/>
            <w:vAlign w:val="center"/>
            <w:hideMark/>
          </w:tcPr>
          <w:p w14:paraId="59CE2489"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Provide updated ICT Asset Register (hardware and software)</w:t>
            </w:r>
          </w:p>
        </w:tc>
        <w:tc>
          <w:tcPr>
            <w:tcW w:w="0" w:type="auto"/>
            <w:vAlign w:val="center"/>
            <w:hideMark/>
          </w:tcPr>
          <w:p w14:paraId="545C7F0C"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Robert Gitonga (via Jeff)</w:t>
            </w:r>
          </w:p>
        </w:tc>
        <w:tc>
          <w:tcPr>
            <w:tcW w:w="0" w:type="auto"/>
            <w:vAlign w:val="center"/>
            <w:hideMark/>
          </w:tcPr>
          <w:p w14:paraId="7B82E30C"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To advise</w:t>
            </w:r>
          </w:p>
        </w:tc>
        <w:tc>
          <w:tcPr>
            <w:tcW w:w="0" w:type="auto"/>
            <w:vAlign w:val="center"/>
            <w:hideMark/>
          </w:tcPr>
          <w:p w14:paraId="674D2E94"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Required for IT asset control review</w:t>
            </w:r>
          </w:p>
        </w:tc>
      </w:tr>
      <w:tr w:rsidR="00AF1D3B" w:rsidRPr="00AF1D3B" w14:paraId="650FC5E7" w14:textId="77777777" w:rsidTr="00AF1D3B">
        <w:trPr>
          <w:tblCellSpacing w:w="15" w:type="dxa"/>
        </w:trPr>
        <w:tc>
          <w:tcPr>
            <w:tcW w:w="0" w:type="auto"/>
            <w:vAlign w:val="center"/>
            <w:hideMark/>
          </w:tcPr>
          <w:p w14:paraId="17CEF76D"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4</w:t>
            </w:r>
          </w:p>
        </w:tc>
        <w:tc>
          <w:tcPr>
            <w:tcW w:w="0" w:type="auto"/>
            <w:vAlign w:val="center"/>
            <w:hideMark/>
          </w:tcPr>
          <w:p w14:paraId="79F6BE87"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Restore/provide ERP view-only access rights for Internal Audit</w:t>
            </w:r>
          </w:p>
        </w:tc>
        <w:tc>
          <w:tcPr>
            <w:tcW w:w="0" w:type="auto"/>
            <w:vAlign w:val="center"/>
            <w:hideMark/>
          </w:tcPr>
          <w:p w14:paraId="09F82826"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ICT / ERP Team</w:t>
            </w:r>
          </w:p>
        </w:tc>
        <w:tc>
          <w:tcPr>
            <w:tcW w:w="0" w:type="auto"/>
            <w:vAlign w:val="center"/>
            <w:hideMark/>
          </w:tcPr>
          <w:p w14:paraId="1028EAE3"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Immediate</w:t>
            </w:r>
          </w:p>
        </w:tc>
        <w:tc>
          <w:tcPr>
            <w:tcW w:w="0" w:type="auto"/>
            <w:vAlign w:val="center"/>
            <w:hideMark/>
          </w:tcPr>
          <w:p w14:paraId="0CC7B8F8"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Access required to support audit walkthroughs and testing</w:t>
            </w:r>
          </w:p>
        </w:tc>
      </w:tr>
      <w:tr w:rsidR="00AF1D3B" w:rsidRPr="00AF1D3B" w14:paraId="4DDA7D79" w14:textId="77777777" w:rsidTr="00AF1D3B">
        <w:trPr>
          <w:tblCellSpacing w:w="15" w:type="dxa"/>
        </w:trPr>
        <w:tc>
          <w:tcPr>
            <w:tcW w:w="0" w:type="auto"/>
            <w:vAlign w:val="center"/>
            <w:hideMark/>
          </w:tcPr>
          <w:p w14:paraId="29281785"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5</w:t>
            </w:r>
          </w:p>
        </w:tc>
        <w:tc>
          <w:tcPr>
            <w:tcW w:w="0" w:type="auto"/>
            <w:vAlign w:val="center"/>
            <w:hideMark/>
          </w:tcPr>
          <w:p w14:paraId="021B12AD"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Internal Audit to share list of required customized ERP reports</w:t>
            </w:r>
          </w:p>
        </w:tc>
        <w:tc>
          <w:tcPr>
            <w:tcW w:w="0" w:type="auto"/>
            <w:vAlign w:val="center"/>
            <w:hideMark/>
          </w:tcPr>
          <w:p w14:paraId="63A823A7"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Fred Omondi Ouma</w:t>
            </w:r>
          </w:p>
        </w:tc>
        <w:tc>
          <w:tcPr>
            <w:tcW w:w="0" w:type="auto"/>
            <w:vAlign w:val="center"/>
            <w:hideMark/>
          </w:tcPr>
          <w:p w14:paraId="446CAF56"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Short term</w:t>
            </w:r>
          </w:p>
        </w:tc>
        <w:tc>
          <w:tcPr>
            <w:tcW w:w="0" w:type="auto"/>
            <w:vAlign w:val="center"/>
            <w:hideMark/>
          </w:tcPr>
          <w:p w14:paraId="188F55C7"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To guide report configuration and access permissions</w:t>
            </w:r>
          </w:p>
        </w:tc>
      </w:tr>
      <w:tr w:rsidR="00AF1D3B" w:rsidRPr="00AF1D3B" w14:paraId="478F9049" w14:textId="77777777" w:rsidTr="00AF1D3B">
        <w:trPr>
          <w:tblCellSpacing w:w="15" w:type="dxa"/>
        </w:trPr>
        <w:tc>
          <w:tcPr>
            <w:tcW w:w="0" w:type="auto"/>
            <w:vAlign w:val="center"/>
            <w:hideMark/>
          </w:tcPr>
          <w:p w14:paraId="520C5E0D"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6</w:t>
            </w:r>
          </w:p>
        </w:tc>
        <w:tc>
          <w:tcPr>
            <w:tcW w:w="0" w:type="auto"/>
            <w:vAlign w:val="center"/>
            <w:hideMark/>
          </w:tcPr>
          <w:p w14:paraId="3F81036C"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Commence audit fieldwork (interviews and walkthroughs)</w:t>
            </w:r>
          </w:p>
        </w:tc>
        <w:tc>
          <w:tcPr>
            <w:tcW w:w="0" w:type="auto"/>
            <w:vAlign w:val="center"/>
            <w:hideMark/>
          </w:tcPr>
          <w:p w14:paraId="536D12E3"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Internal Audit</w:t>
            </w:r>
          </w:p>
        </w:tc>
        <w:tc>
          <w:tcPr>
            <w:tcW w:w="0" w:type="auto"/>
            <w:vAlign w:val="center"/>
            <w:hideMark/>
          </w:tcPr>
          <w:p w14:paraId="1A7A6157"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Immediate</w:t>
            </w:r>
          </w:p>
        </w:tc>
        <w:tc>
          <w:tcPr>
            <w:tcW w:w="0" w:type="auto"/>
            <w:vAlign w:val="center"/>
            <w:hideMark/>
          </w:tcPr>
          <w:p w14:paraId="63F4F609"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Includes engagement with ERP and process owners</w:t>
            </w:r>
          </w:p>
        </w:tc>
      </w:tr>
      <w:tr w:rsidR="00AF1D3B" w:rsidRPr="00AF1D3B" w14:paraId="3866B248" w14:textId="77777777" w:rsidTr="00AF1D3B">
        <w:trPr>
          <w:tblCellSpacing w:w="15" w:type="dxa"/>
        </w:trPr>
        <w:tc>
          <w:tcPr>
            <w:tcW w:w="0" w:type="auto"/>
            <w:vAlign w:val="center"/>
            <w:hideMark/>
          </w:tcPr>
          <w:p w14:paraId="699F1244"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7</w:t>
            </w:r>
          </w:p>
        </w:tc>
        <w:tc>
          <w:tcPr>
            <w:tcW w:w="0" w:type="auto"/>
            <w:vAlign w:val="center"/>
            <w:hideMark/>
          </w:tcPr>
          <w:p w14:paraId="168C9B10"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Notify and involve Internal Audit in ERP Phase Two requirements-gathering sessions</w:t>
            </w:r>
          </w:p>
        </w:tc>
        <w:tc>
          <w:tcPr>
            <w:tcW w:w="0" w:type="auto"/>
            <w:vAlign w:val="center"/>
            <w:hideMark/>
          </w:tcPr>
          <w:p w14:paraId="2B257EEB"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ICT / ERP Team</w:t>
            </w:r>
          </w:p>
        </w:tc>
        <w:tc>
          <w:tcPr>
            <w:tcW w:w="0" w:type="auto"/>
            <w:vAlign w:val="center"/>
            <w:hideMark/>
          </w:tcPr>
          <w:p w14:paraId="5882C97F"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Starting next week</w:t>
            </w:r>
          </w:p>
        </w:tc>
        <w:tc>
          <w:tcPr>
            <w:tcW w:w="0" w:type="auto"/>
            <w:vAlign w:val="center"/>
            <w:hideMark/>
          </w:tcPr>
          <w:p w14:paraId="2C78FBF5" w14:textId="77777777" w:rsidR="00AF1D3B" w:rsidRPr="00AF1D3B" w:rsidRDefault="00AF1D3B" w:rsidP="00AF1D3B">
            <w:pPr>
              <w:spacing w:after="0" w:line="240" w:lineRule="auto"/>
              <w:rPr>
                <w:rFonts w:ascii="Times New Roman" w:eastAsia="Times New Roman" w:hAnsi="Times New Roman" w:cs="Times New Roman"/>
                <w:kern w:val="0"/>
                <w14:ligatures w14:val="none"/>
              </w:rPr>
            </w:pPr>
            <w:r w:rsidRPr="00AF1D3B">
              <w:rPr>
                <w:rFonts w:ascii="Times New Roman" w:eastAsia="Times New Roman" w:hAnsi="Times New Roman" w:cs="Times New Roman"/>
                <w:kern w:val="0"/>
                <w14:ligatures w14:val="none"/>
              </w:rPr>
              <w:t>Especially for Finance, Procurement, Fleet, and other key units</w:t>
            </w:r>
          </w:p>
        </w:tc>
      </w:tr>
    </w:tbl>
    <w:p w14:paraId="14776393" w14:textId="77777777" w:rsidR="00AF1D3B" w:rsidRDefault="00AF1D3B"/>
    <w:sectPr w:rsidR="00AF1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82588"/>
    <w:multiLevelType w:val="multilevel"/>
    <w:tmpl w:val="F312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88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D3B"/>
    <w:rsid w:val="00306F76"/>
    <w:rsid w:val="003B059A"/>
    <w:rsid w:val="00451EEC"/>
    <w:rsid w:val="00AF1D3B"/>
    <w:rsid w:val="00C57074"/>
    <w:rsid w:val="00F46D13"/>
    <w:rsid w:val="00F65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79614"/>
  <w15:chartTrackingRefBased/>
  <w15:docId w15:val="{AD0EC085-F5B1-4306-8DB1-8C150656A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D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D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D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D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D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D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D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D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D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D3B"/>
    <w:rPr>
      <w:rFonts w:eastAsiaTheme="majorEastAsia" w:cstheme="majorBidi"/>
      <w:color w:val="272727" w:themeColor="text1" w:themeTint="D8"/>
    </w:rPr>
  </w:style>
  <w:style w:type="paragraph" w:styleId="Title">
    <w:name w:val="Title"/>
    <w:basedOn w:val="Normal"/>
    <w:next w:val="Normal"/>
    <w:link w:val="TitleChar"/>
    <w:uiPriority w:val="10"/>
    <w:qFormat/>
    <w:rsid w:val="00AF1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D3B"/>
    <w:pPr>
      <w:spacing w:before="160"/>
      <w:jc w:val="center"/>
    </w:pPr>
    <w:rPr>
      <w:i/>
      <w:iCs/>
      <w:color w:val="404040" w:themeColor="text1" w:themeTint="BF"/>
    </w:rPr>
  </w:style>
  <w:style w:type="character" w:customStyle="1" w:styleId="QuoteChar">
    <w:name w:val="Quote Char"/>
    <w:basedOn w:val="DefaultParagraphFont"/>
    <w:link w:val="Quote"/>
    <w:uiPriority w:val="29"/>
    <w:rsid w:val="00AF1D3B"/>
    <w:rPr>
      <w:i/>
      <w:iCs/>
      <w:color w:val="404040" w:themeColor="text1" w:themeTint="BF"/>
    </w:rPr>
  </w:style>
  <w:style w:type="paragraph" w:styleId="ListParagraph">
    <w:name w:val="List Paragraph"/>
    <w:basedOn w:val="Normal"/>
    <w:uiPriority w:val="34"/>
    <w:qFormat/>
    <w:rsid w:val="00AF1D3B"/>
    <w:pPr>
      <w:ind w:left="720"/>
      <w:contextualSpacing/>
    </w:pPr>
  </w:style>
  <w:style w:type="character" w:styleId="IntenseEmphasis">
    <w:name w:val="Intense Emphasis"/>
    <w:basedOn w:val="DefaultParagraphFont"/>
    <w:uiPriority w:val="21"/>
    <w:qFormat/>
    <w:rsid w:val="00AF1D3B"/>
    <w:rPr>
      <w:i/>
      <w:iCs/>
      <w:color w:val="2F5496" w:themeColor="accent1" w:themeShade="BF"/>
    </w:rPr>
  </w:style>
  <w:style w:type="paragraph" w:styleId="IntenseQuote">
    <w:name w:val="Intense Quote"/>
    <w:basedOn w:val="Normal"/>
    <w:next w:val="Normal"/>
    <w:link w:val="IntenseQuoteChar"/>
    <w:uiPriority w:val="30"/>
    <w:qFormat/>
    <w:rsid w:val="00AF1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D3B"/>
    <w:rPr>
      <w:i/>
      <w:iCs/>
      <w:color w:val="2F5496" w:themeColor="accent1" w:themeShade="BF"/>
    </w:rPr>
  </w:style>
  <w:style w:type="character" w:styleId="IntenseReference">
    <w:name w:val="Intense Reference"/>
    <w:basedOn w:val="DefaultParagraphFont"/>
    <w:uiPriority w:val="32"/>
    <w:qFormat/>
    <w:rsid w:val="00AF1D3B"/>
    <w:rPr>
      <w:b/>
      <w:bCs/>
      <w:smallCaps/>
      <w:color w:val="2F5496" w:themeColor="accent1" w:themeShade="BF"/>
      <w:spacing w:val="5"/>
    </w:rPr>
  </w:style>
  <w:style w:type="paragraph" w:styleId="NormalWeb">
    <w:name w:val="Normal (Web)"/>
    <w:basedOn w:val="Normal"/>
    <w:uiPriority w:val="99"/>
    <w:semiHidden/>
    <w:unhideWhenUsed/>
    <w:rsid w:val="00AF1D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622</Words>
  <Characters>3548</Characters>
  <Application>Microsoft Office Word</Application>
  <DocSecurity>0</DocSecurity>
  <Lines>29</Lines>
  <Paragraphs>8</Paragraphs>
  <ScaleCrop>false</ScaleCrop>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Omondi Ouma</dc:creator>
  <cp:keywords/>
  <dc:description/>
  <cp:lastModifiedBy>Fred Omondi Ouma</cp:lastModifiedBy>
  <cp:revision>1</cp:revision>
  <dcterms:created xsi:type="dcterms:W3CDTF">2026-02-03T11:51:00Z</dcterms:created>
  <dcterms:modified xsi:type="dcterms:W3CDTF">2026-02-03T11:57:00Z</dcterms:modified>
</cp:coreProperties>
</file>